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49D4" w14:textId="281ED005" w:rsidR="009134AF" w:rsidRDefault="009134AF" w:rsidP="009134AF">
      <w:pPr>
        <w:pStyle w:val="OZNPROJEKTUwskazaniedatylubwersjiprojektu"/>
      </w:pPr>
      <w:r>
        <w:t xml:space="preserve">Projekt z dnia </w:t>
      </w:r>
      <w:r w:rsidR="00045CC2">
        <w:t>3</w:t>
      </w:r>
      <w:r w:rsidR="008C410C">
        <w:t>1</w:t>
      </w:r>
      <w:r>
        <w:t xml:space="preserve"> października 2025 r.</w:t>
      </w:r>
    </w:p>
    <w:p w14:paraId="4B51383C" w14:textId="77777777" w:rsidR="009134AF" w:rsidRPr="00A22240" w:rsidRDefault="009134AF" w:rsidP="009134AF">
      <w:pPr>
        <w:pStyle w:val="OZNRODZAKTUtznustawalubrozporzdzenieiorganwydajcy"/>
      </w:pPr>
    </w:p>
    <w:p w14:paraId="05E73722" w14:textId="77777777" w:rsidR="009134AF" w:rsidRPr="00A22240" w:rsidRDefault="009134AF" w:rsidP="009134AF">
      <w:pPr>
        <w:pStyle w:val="OZNRODZAKTUtznustawalubrozporzdzenieiorganwydajcy"/>
      </w:pPr>
      <w:r w:rsidRPr="00A22240">
        <w:t>ROZPORZĄDZENIE</w:t>
      </w:r>
    </w:p>
    <w:p w14:paraId="123AC4F5" w14:textId="77777777" w:rsidR="009134AF" w:rsidRPr="004B198A" w:rsidRDefault="009134AF" w:rsidP="009134AF">
      <w:pPr>
        <w:pStyle w:val="OZNRODZAKTUtznustawalubrozporzdzenieiorganwydajcy"/>
      </w:pPr>
      <w:r w:rsidRPr="00A22240">
        <w:t>MINISTRA CYFRYZACJI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73A2A7EB" w14:textId="77777777" w:rsidR="009134AF" w:rsidRPr="00A22240" w:rsidRDefault="009134AF" w:rsidP="009134AF">
      <w:pPr>
        <w:pStyle w:val="DATAAKTUdatauchwalenialubwydaniaaktu"/>
      </w:pPr>
      <w:r w:rsidRPr="00A22240">
        <w:t>z dnia …</w:t>
      </w:r>
    </w:p>
    <w:p w14:paraId="4210D610" w14:textId="77777777" w:rsidR="009134AF" w:rsidRPr="00A22240" w:rsidRDefault="009134AF" w:rsidP="009134AF">
      <w:pPr>
        <w:pStyle w:val="TYTUAKTUprzedmiotregulacjiustawylubrozporzdzenia"/>
      </w:pPr>
      <w:r w:rsidRPr="00A22240">
        <w:t>zmieniające rozporządzenie w sprawie profilu zaufanego i podpisu zaufanego</w:t>
      </w:r>
    </w:p>
    <w:p w14:paraId="1AF0E8AD" w14:textId="2F75C4CC" w:rsidR="009134AF" w:rsidRPr="00A22240" w:rsidRDefault="009134AF" w:rsidP="009134AF">
      <w:pPr>
        <w:pStyle w:val="NIEARTTEKSTtekstnieartykuowanynppodstprawnarozplubpreambua"/>
      </w:pPr>
      <w:r w:rsidRPr="00A22240">
        <w:t>Na podstawie art. 20d ustawy z dnia 17 lutego 2005 r. o informatyzacji działalności podmiotów realizujących zadania publiczne (Dz. U. z 2024 r. poz. 1557</w:t>
      </w:r>
      <w:r w:rsidR="00AB1A07">
        <w:t>, z późn.</w:t>
      </w:r>
      <w:r w:rsidR="00AB1A07">
        <w:rPr>
          <w:rStyle w:val="Odwoanieprzypisudolnego"/>
        </w:rPr>
        <w:footnoteReference w:id="2"/>
      </w:r>
      <w:r w:rsidRPr="00D81A8F">
        <w:rPr>
          <w:rStyle w:val="IGindeksgrny"/>
        </w:rPr>
        <w:t>)</w:t>
      </w:r>
      <w:r w:rsidRPr="00A22240">
        <w:t xml:space="preserve"> zarządza się, co następuje:</w:t>
      </w:r>
    </w:p>
    <w:p w14:paraId="271AE58E" w14:textId="7CA477F5" w:rsidR="009134AF" w:rsidRPr="00A22240" w:rsidRDefault="009134AF" w:rsidP="009134AF">
      <w:pPr>
        <w:pStyle w:val="ARTartustawynprozporzdzenia"/>
        <w:keepNext/>
      </w:pPr>
      <w:r w:rsidRPr="00A22240">
        <w:rPr>
          <w:rStyle w:val="Ppogrubienie"/>
        </w:rPr>
        <w:t>§ 1.</w:t>
      </w:r>
      <w:r>
        <w:t> </w:t>
      </w:r>
      <w:r w:rsidRPr="00A22240">
        <w:t xml:space="preserve"> W rozporządzeniu Ministra Cyfryzacji z dnia 29 czerwca 2020 r. w sprawie profilu zaufanego i podpisu zaufanego (Dz. U. z 2023 r. poz. 2551 oraz z 2025 r. poz. 831) </w:t>
      </w:r>
      <w:r w:rsidR="00D41A0E">
        <w:t xml:space="preserve">w </w:t>
      </w:r>
      <w:r w:rsidR="00D41A0E" w:rsidRPr="00D41A0E">
        <w:t>§</w:t>
      </w:r>
      <w:r w:rsidR="00D41A0E">
        <w:t xml:space="preserve"> </w:t>
      </w:r>
      <w:r w:rsidR="00D41A0E" w:rsidRPr="00D41A0E">
        <w:t>10</w:t>
      </w:r>
      <w:r w:rsidRPr="00A22240">
        <w:t>:</w:t>
      </w:r>
    </w:p>
    <w:p w14:paraId="059605B9" w14:textId="4A3F5C01" w:rsidR="009134AF" w:rsidRPr="00A22240" w:rsidRDefault="00CA6F32" w:rsidP="009134AF">
      <w:pPr>
        <w:pStyle w:val="PKTpunkt"/>
        <w:keepNext/>
      </w:pPr>
      <w:r>
        <w:t>1</w:t>
      </w:r>
      <w:r w:rsidR="009134AF" w:rsidRPr="00A22240">
        <w:t>)</w:t>
      </w:r>
      <w:r w:rsidR="00D41A0E">
        <w:tab/>
      </w:r>
      <w:r w:rsidR="00D41A0E" w:rsidRPr="00D41A0E">
        <w:t>w ust. 6 w pkt 2 kropkę zastępuje się średnikiem i dodaje się pkt 3</w:t>
      </w:r>
      <w:r w:rsidR="00206CA6">
        <w:t xml:space="preserve"> </w:t>
      </w:r>
      <w:r w:rsidR="00D41A0E" w:rsidRPr="00D41A0E">
        <w:t>w brzmieniu:</w:t>
      </w:r>
    </w:p>
    <w:p w14:paraId="742D2356" w14:textId="30BA605A" w:rsidR="00C11B4A" w:rsidRDefault="00D41A0E" w:rsidP="00D41A0E">
      <w:pPr>
        <w:pStyle w:val="ZPKTzmpktartykuempunktem"/>
      </w:pPr>
      <w:r>
        <w:t>„</w:t>
      </w:r>
      <w:r w:rsidR="00E46E7F">
        <w:t>3) z wykorzystaniem profilu osobistego</w:t>
      </w:r>
      <w:r w:rsidR="009F451A">
        <w:t>.</w:t>
      </w:r>
      <w:r w:rsidRPr="00BF462B">
        <w:t>”</w:t>
      </w:r>
      <w:r w:rsidR="004935D6">
        <w:t>,</w:t>
      </w:r>
    </w:p>
    <w:p w14:paraId="7CD4D0D9" w14:textId="1D94E155" w:rsidR="00AB1A07" w:rsidRDefault="00D41A0E" w:rsidP="00D41A0E">
      <w:pPr>
        <w:pStyle w:val="PKTpunkt"/>
      </w:pPr>
      <w:r>
        <w:t>2</w:t>
      </w:r>
      <w:r w:rsidR="00AB1A07">
        <w:t>)</w:t>
      </w:r>
      <w:r w:rsidR="00AB1A07">
        <w:tab/>
        <w:t>po ust. 8 dodaje się ust. 8a w brzmieniu:</w:t>
      </w:r>
    </w:p>
    <w:p w14:paraId="250E3E6E" w14:textId="392936A8" w:rsidR="00AB1A07" w:rsidRDefault="00AB1A07" w:rsidP="00D41A0E">
      <w:pPr>
        <w:pStyle w:val="ZUSTzmustartykuempunktem"/>
      </w:pPr>
      <w:r>
        <w:t xml:space="preserve">„8a. </w:t>
      </w:r>
      <w:r w:rsidRPr="00AB1A07">
        <w:t xml:space="preserve">Posiadacz profilu zaufanego </w:t>
      </w:r>
      <w:r w:rsidR="000B323E">
        <w:t>nie może</w:t>
      </w:r>
      <w:r w:rsidRPr="00AB1A07">
        <w:t xml:space="preserve"> </w:t>
      </w:r>
      <w:r>
        <w:t xml:space="preserve">zrezygnować z możliwości uwierzytelniania </w:t>
      </w:r>
      <w:r w:rsidR="000B323E">
        <w:t xml:space="preserve">w sposób, o którym mowa w ust. 6 pkt </w:t>
      </w:r>
      <w:r w:rsidR="00E46E7F">
        <w:t>3</w:t>
      </w:r>
      <w:r w:rsidR="009F451A">
        <w:t>.</w:t>
      </w:r>
      <w:r w:rsidR="000B323E" w:rsidRPr="000B323E">
        <w:t>”</w:t>
      </w:r>
      <w:r w:rsidR="00D41A0E">
        <w:t>;</w:t>
      </w:r>
    </w:p>
    <w:p w14:paraId="559CCC87" w14:textId="5D16D5C9" w:rsidR="009134AF" w:rsidRPr="00A22240" w:rsidRDefault="00206CA6" w:rsidP="00206CA6">
      <w:pPr>
        <w:pStyle w:val="PKTpunkt"/>
      </w:pPr>
      <w:r>
        <w:t>3</w:t>
      </w:r>
      <w:r w:rsidR="009134AF" w:rsidRPr="00A22240">
        <w:t>)</w:t>
      </w:r>
      <w:r w:rsidR="009134AF">
        <w:tab/>
      </w:r>
      <w:r w:rsidR="009134AF" w:rsidRPr="00A22240">
        <w:t>ust. 10 otrzymuje brzmienie:</w:t>
      </w:r>
    </w:p>
    <w:p w14:paraId="6A1539D6" w14:textId="26F7BCCF" w:rsidR="000B323E" w:rsidRDefault="009134AF" w:rsidP="00206CA6">
      <w:pPr>
        <w:pStyle w:val="ZUSTzmustartykuempunktem"/>
      </w:pPr>
      <w:r>
        <w:t>„</w:t>
      </w:r>
      <w:r w:rsidRPr="00A22240">
        <w:t>10.</w:t>
      </w:r>
      <w:r>
        <w:t> </w:t>
      </w:r>
      <w:r w:rsidRPr="00A22240">
        <w:t xml:space="preserve">Komunikaty </w:t>
      </w:r>
      <w:bookmarkStart w:id="0" w:name="_Hlk206490727"/>
      <w:r w:rsidRPr="00A22240">
        <w:t>związane z funkcjonowaniem profilu zaufanego i konta profilu</w:t>
      </w:r>
      <w:bookmarkEnd w:id="0"/>
      <w:r w:rsidRPr="00A22240">
        <w:t xml:space="preserve"> zaufanego</w:t>
      </w:r>
      <w:r w:rsidR="000B323E" w:rsidRPr="000B323E">
        <w:t xml:space="preserve"> są</w:t>
      </w:r>
      <w:r w:rsidR="000B323E">
        <w:t>:</w:t>
      </w:r>
    </w:p>
    <w:p w14:paraId="06168268" w14:textId="3DD0AD07" w:rsidR="000B323E" w:rsidRDefault="000B323E" w:rsidP="00206CA6">
      <w:pPr>
        <w:pStyle w:val="ZPKTzmpktartykuempunktem"/>
      </w:pPr>
      <w:r>
        <w:t>1)</w:t>
      </w:r>
      <w:r>
        <w:tab/>
      </w:r>
      <w:r w:rsidR="009134AF" w:rsidRPr="00A22240">
        <w:t xml:space="preserve">przesyłane na </w:t>
      </w:r>
      <w:bookmarkStart w:id="1" w:name="_Hlk206491003"/>
      <w:r w:rsidR="009134AF" w:rsidRPr="00A22240">
        <w:t>adres poczty elektronicznej, o którym mowa w</w:t>
      </w:r>
      <w:r w:rsidR="009134AF">
        <w:t> </w:t>
      </w:r>
      <w:r w:rsidR="009134AF" w:rsidRPr="00A22240">
        <w:t>ust. 1 pkt 5 lub</w:t>
      </w:r>
    </w:p>
    <w:p w14:paraId="7B5F2B42" w14:textId="4F45AEE5" w:rsidR="009134AF" w:rsidRDefault="000B323E" w:rsidP="00206CA6">
      <w:pPr>
        <w:pStyle w:val="ZPKTzmpktartykuempunktem"/>
      </w:pPr>
      <w:r>
        <w:t>2)</w:t>
      </w:r>
      <w:bookmarkStart w:id="2" w:name="_Hlk206487867"/>
      <w:r w:rsidR="004935D6">
        <w:tab/>
      </w:r>
      <w:r w:rsidR="009134AF">
        <w:t xml:space="preserve">udostępniane w aplikacji mObywatel </w:t>
      </w:r>
      <w:bookmarkEnd w:id="1"/>
      <w:bookmarkEnd w:id="2"/>
      <w:r w:rsidR="009134AF" w:rsidRPr="00A22240">
        <w:t>w</w:t>
      </w:r>
      <w:r w:rsidR="009134AF">
        <w:t xml:space="preserve"> rozumieniu </w:t>
      </w:r>
      <w:r w:rsidR="009134AF" w:rsidRPr="00A22240">
        <w:t>art. 2 pkt 1 ustawy z dnia 26 maja 2023 r. o aplikacji mObywatel (Dz.</w:t>
      </w:r>
      <w:r w:rsidR="009134AF">
        <w:t> </w:t>
      </w:r>
      <w:r w:rsidR="009134AF" w:rsidRPr="00A22240">
        <w:t>U z 2024 r. poz. 1275 i 1717 oraz z 2025 r. poz. 1019)</w:t>
      </w:r>
      <w:r>
        <w:t>,</w:t>
      </w:r>
      <w:r w:rsidR="009134AF">
        <w:t xml:space="preserve"> jeżeli posiadacz konta profilu zaufanego jest jednocześnie użytkownikiem tej aplikacji</w:t>
      </w:r>
      <w:r>
        <w:t xml:space="preserve"> </w:t>
      </w:r>
      <w:r w:rsidRPr="000B323E">
        <w:t>i wyraził zgodę na otrzymywanie komunikatów</w:t>
      </w:r>
      <w:r w:rsidR="009134AF" w:rsidRPr="00A22240">
        <w:t>.</w:t>
      </w:r>
      <w:r w:rsidR="009134AF">
        <w:t>”</w:t>
      </w:r>
      <w:r w:rsidR="00206CA6">
        <w:t>;</w:t>
      </w:r>
    </w:p>
    <w:p w14:paraId="0D0B897A" w14:textId="16AC13B5" w:rsidR="009134AF" w:rsidRDefault="00206CA6" w:rsidP="00206CA6">
      <w:pPr>
        <w:pStyle w:val="PKTpunkt"/>
      </w:pPr>
      <w:r>
        <w:t>4</w:t>
      </w:r>
      <w:r w:rsidR="009134AF">
        <w:t>)</w:t>
      </w:r>
      <w:r w:rsidR="009134AF">
        <w:tab/>
        <w:t>po ust. 10 dodaje się ust. 10a</w:t>
      </w:r>
      <w:r w:rsidR="0067226C">
        <w:t xml:space="preserve"> i 10b </w:t>
      </w:r>
      <w:r w:rsidR="009134AF">
        <w:t>w brzmieniu:</w:t>
      </w:r>
    </w:p>
    <w:p w14:paraId="0EA5C299" w14:textId="0430A0B8" w:rsidR="009134AF" w:rsidRDefault="009134AF" w:rsidP="00206CA6">
      <w:pPr>
        <w:pStyle w:val="ZUSTzmustartykuempunktem"/>
      </w:pPr>
      <w:r>
        <w:t>„10a. Posiadacz konta profilu zaufanego dokonuje wyboru lub zmiany:</w:t>
      </w:r>
    </w:p>
    <w:p w14:paraId="69EC01AB" w14:textId="37CF793C" w:rsidR="00083FA3" w:rsidRDefault="009134AF" w:rsidP="00206CA6">
      <w:pPr>
        <w:pStyle w:val="ZPKTzmpktartykuempunktem"/>
      </w:pPr>
      <w:r>
        <w:lastRenderedPageBreak/>
        <w:t>1)</w:t>
      </w:r>
      <w:r>
        <w:tab/>
      </w:r>
      <w:r w:rsidR="00083FA3" w:rsidRPr="00BF462B">
        <w:t>komunikatów związanych</w:t>
      </w:r>
      <w:r w:rsidR="009F451A">
        <w:t xml:space="preserve"> </w:t>
      </w:r>
      <w:r w:rsidR="00083FA3" w:rsidRPr="00BF462B">
        <w:t>z funkcjonowaniem profilu zaufanego</w:t>
      </w:r>
      <w:r w:rsidR="00D41A0E">
        <w:t xml:space="preserve"> </w:t>
      </w:r>
      <w:r w:rsidR="00083FA3" w:rsidRPr="00BF462B">
        <w:t>i</w:t>
      </w:r>
      <w:r w:rsidR="00D41A0E">
        <w:t xml:space="preserve"> </w:t>
      </w:r>
      <w:r w:rsidR="00083FA3" w:rsidRPr="00BF462B">
        <w:t xml:space="preserve">konta profilu zaufanego, które chce otrzymywać </w:t>
      </w:r>
      <w:r w:rsidR="00083FA3">
        <w:t xml:space="preserve">- </w:t>
      </w:r>
      <w:r w:rsidR="00083FA3" w:rsidRPr="00F25497">
        <w:t>samodzielnie w systemie, w</w:t>
      </w:r>
      <w:r w:rsidR="00083FA3">
        <w:t> </w:t>
      </w:r>
      <w:r w:rsidR="00083FA3" w:rsidRPr="00F25497">
        <w:t>którym wydawany jest profil zaufany</w:t>
      </w:r>
      <w:r w:rsidR="009F451A">
        <w:t>;</w:t>
      </w:r>
    </w:p>
    <w:p w14:paraId="04B1631A" w14:textId="59CCC0F5" w:rsidR="00CA6F32" w:rsidRDefault="00083FA3" w:rsidP="00206CA6">
      <w:pPr>
        <w:pStyle w:val="ZPKTzmpktartykuempunktem"/>
      </w:pPr>
      <w:r>
        <w:t>2)</w:t>
      </w:r>
      <w:r>
        <w:tab/>
      </w:r>
      <w:r w:rsidR="009134AF" w:rsidRPr="00BF462B">
        <w:t>sposob</w:t>
      </w:r>
      <w:r w:rsidR="009134AF">
        <w:t xml:space="preserve">u otrzymywania komunikatów </w:t>
      </w:r>
      <w:r w:rsidR="009134AF" w:rsidRPr="00F25497">
        <w:t>związanych z funkcjonowaniem profilu zaufanego</w:t>
      </w:r>
      <w:r w:rsidR="00D41A0E">
        <w:t xml:space="preserve"> </w:t>
      </w:r>
      <w:r w:rsidR="009134AF" w:rsidRPr="00F25497">
        <w:t>i</w:t>
      </w:r>
      <w:r w:rsidR="00D41A0E">
        <w:t xml:space="preserve"> </w:t>
      </w:r>
      <w:r w:rsidR="009134AF" w:rsidRPr="00F25497">
        <w:t>konta profilu zaufanego</w:t>
      </w:r>
      <w:r w:rsidR="009134AF">
        <w:t xml:space="preserve">, spośród sposobów wymienionych </w:t>
      </w:r>
      <w:r w:rsidR="009134AF" w:rsidRPr="00BF462B">
        <w:t>w</w:t>
      </w:r>
      <w:r w:rsidR="009134AF">
        <w:t> </w:t>
      </w:r>
      <w:r w:rsidR="009134AF" w:rsidRPr="00BF462B">
        <w:t>ust.</w:t>
      </w:r>
      <w:r w:rsidR="009134AF">
        <w:t> </w:t>
      </w:r>
      <w:r w:rsidR="009134AF" w:rsidRPr="00BF462B">
        <w:t>10</w:t>
      </w:r>
      <w:r w:rsidR="009134AF">
        <w:t xml:space="preserve"> - </w:t>
      </w:r>
      <w:r w:rsidR="009134AF" w:rsidRPr="00BF462B">
        <w:t>samodzielnie w systemie, w którym wydawany jest profil zaufany</w:t>
      </w:r>
      <w:r w:rsidR="009F451A">
        <w:t>.</w:t>
      </w:r>
    </w:p>
    <w:p w14:paraId="601D766C" w14:textId="4B140AB8" w:rsidR="009134AF" w:rsidRPr="00A22240" w:rsidRDefault="0067226C" w:rsidP="00206CA6">
      <w:pPr>
        <w:pStyle w:val="ZUSTzmustartykuempunktem"/>
      </w:pPr>
      <w:r>
        <w:t xml:space="preserve">10b. </w:t>
      </w:r>
      <w:r w:rsidR="00CA6F32" w:rsidRPr="00CA6F32">
        <w:t xml:space="preserve">Posiadacz profilu zaufanego nie może zrezygnować </w:t>
      </w:r>
      <w:r w:rsidR="00CA6F32">
        <w:t xml:space="preserve">z otrzymywania </w:t>
      </w:r>
      <w:r w:rsidR="00CA6F32" w:rsidRPr="00CA6F32">
        <w:t>komunikat</w:t>
      </w:r>
      <w:r w:rsidR="00CA6F32">
        <w:t>ów</w:t>
      </w:r>
      <w:r w:rsidR="00CA6F32" w:rsidRPr="00CA6F32">
        <w:t xml:space="preserve"> generowany</w:t>
      </w:r>
      <w:r w:rsidR="00CA6F32">
        <w:t>ch</w:t>
      </w:r>
      <w:r w:rsidR="00CA6F32" w:rsidRPr="00CA6F32">
        <w:t xml:space="preserve"> przez system, w którym jest wydawany profil zaufany, dotyczący</w:t>
      </w:r>
      <w:r w:rsidR="00CA6F32">
        <w:t>ch</w:t>
      </w:r>
      <w:r w:rsidR="00CA6F32" w:rsidRPr="00CA6F32">
        <w:t xml:space="preserve"> zdarzeń związanych z bezpieczeństwem profilu zaufanego</w:t>
      </w:r>
      <w:r w:rsidR="009134AF">
        <w:t>.</w:t>
      </w:r>
      <w:r w:rsidR="009134AF" w:rsidRPr="00BF462B">
        <w:t>”</w:t>
      </w:r>
      <w:r w:rsidR="009134AF">
        <w:t>.</w:t>
      </w:r>
    </w:p>
    <w:p w14:paraId="6554E473" w14:textId="5AEC20BD" w:rsidR="009134AF" w:rsidRDefault="009134AF" w:rsidP="009134AF">
      <w:pPr>
        <w:pStyle w:val="ARTartustawynprozporzdzenia"/>
      </w:pPr>
      <w:r w:rsidRPr="00A22240">
        <w:rPr>
          <w:rStyle w:val="Ppogrubienie"/>
        </w:rPr>
        <w:t>§ 2.</w:t>
      </w:r>
      <w:r>
        <w:t> </w:t>
      </w:r>
      <w:r w:rsidRPr="00A22240">
        <w:t xml:space="preserve">Rozporządzenie wchodzi w życie z dniem </w:t>
      </w:r>
      <w:r w:rsidRPr="00731233">
        <w:t>12 stycznia 2026 r</w:t>
      </w:r>
      <w:r>
        <w:t>.</w:t>
      </w:r>
    </w:p>
    <w:p w14:paraId="04CCFA1B" w14:textId="77777777" w:rsidR="009134AF" w:rsidRDefault="009134AF" w:rsidP="009134AF">
      <w:pPr>
        <w:pStyle w:val="ARTartustawynprozporzdzenia"/>
      </w:pPr>
    </w:p>
    <w:p w14:paraId="46A3879E" w14:textId="77777777" w:rsidR="009134AF" w:rsidRDefault="009134AF" w:rsidP="009134AF">
      <w:pPr>
        <w:pStyle w:val="NAZORGWYDnazwaorganuwydajcegoprojektowanyakt"/>
      </w:pPr>
      <w:r>
        <w:t>Minister Cyfryzacji</w:t>
      </w:r>
    </w:p>
    <w:p w14:paraId="0A969FE1" w14:textId="77777777" w:rsidR="009134AF" w:rsidRDefault="009134AF" w:rsidP="009134AF">
      <w:pPr>
        <w:pStyle w:val="NAZORGWYDnazwaorganuwydajcegoprojektowanyakt"/>
      </w:pPr>
    </w:p>
    <w:p w14:paraId="4F80284B" w14:textId="77777777" w:rsidR="009134AF" w:rsidRPr="00B3776D" w:rsidRDefault="009134AF" w:rsidP="009134AF">
      <w:pPr>
        <w:pStyle w:val="OZNPARAFYADNOTACJE"/>
      </w:pPr>
      <w:r w:rsidRPr="00B3776D">
        <w:t>Za zgodność pod względem prawnym,</w:t>
      </w:r>
    </w:p>
    <w:p w14:paraId="0296AFE0" w14:textId="77777777" w:rsidR="009134AF" w:rsidRPr="00B3776D" w:rsidRDefault="009134AF" w:rsidP="009134AF">
      <w:pPr>
        <w:pStyle w:val="OZNPARAFYADNOTACJE"/>
      </w:pPr>
      <w:r w:rsidRPr="00B3776D">
        <w:t>legislacyjnym i redakcyjnym</w:t>
      </w:r>
    </w:p>
    <w:p w14:paraId="69E5C3B1" w14:textId="77777777" w:rsidR="009134AF" w:rsidRPr="00B3776D" w:rsidRDefault="009134AF" w:rsidP="009134AF">
      <w:pPr>
        <w:pStyle w:val="OZNPARAFYADNOTACJE"/>
      </w:pPr>
      <w:r w:rsidRPr="00B3776D">
        <w:t>Magdalena Witkowska-Krzymowska</w:t>
      </w:r>
    </w:p>
    <w:p w14:paraId="2E915AA9" w14:textId="77777777" w:rsidR="009134AF" w:rsidRPr="00B3776D" w:rsidRDefault="009134AF" w:rsidP="009134AF">
      <w:pPr>
        <w:pStyle w:val="OZNPARAFYADNOTACJE"/>
      </w:pPr>
      <w:r w:rsidRPr="00B3776D">
        <w:t>Dyrektor Departamentu Prawnego</w:t>
      </w:r>
    </w:p>
    <w:p w14:paraId="194FCB75" w14:textId="77777777" w:rsidR="009134AF" w:rsidRPr="00B3776D" w:rsidRDefault="009134AF" w:rsidP="009134AF">
      <w:pPr>
        <w:pStyle w:val="OZNPARAFYADNOTACJE"/>
      </w:pPr>
      <w:r w:rsidRPr="00B3776D">
        <w:t>w Ministerstwie Cyfryzacji</w:t>
      </w:r>
    </w:p>
    <w:p w14:paraId="253CF49D" w14:textId="77777777" w:rsidR="009134AF" w:rsidRPr="00737F6A" w:rsidRDefault="009134AF" w:rsidP="009134AF">
      <w:pPr>
        <w:pStyle w:val="OZNPARAFYADNOTACJE"/>
      </w:pPr>
      <w:r w:rsidRPr="00B3776D">
        <w:t>/podpisano elektronicznie</w:t>
      </w:r>
    </w:p>
    <w:p w14:paraId="56C34828" w14:textId="1FDDAA73" w:rsidR="009134AF" w:rsidRDefault="009134AF">
      <w:pPr>
        <w:widowControl/>
        <w:autoSpaceDE/>
        <w:autoSpaceDN/>
        <w:adjustRightInd/>
      </w:pPr>
      <w:r>
        <w:br w:type="page"/>
      </w:r>
    </w:p>
    <w:p w14:paraId="74570CFA" w14:textId="77777777" w:rsidR="009134AF" w:rsidRPr="0024003B" w:rsidRDefault="009134AF" w:rsidP="009134AF">
      <w:pPr>
        <w:keepNext/>
        <w:widowControl/>
        <w:suppressAutoHyphens/>
        <w:autoSpaceDE/>
        <w:autoSpaceDN/>
        <w:adjustRightInd/>
        <w:spacing w:before="120" w:after="360"/>
        <w:jc w:val="center"/>
        <w:rPr>
          <w:rFonts w:ascii="Times" w:eastAsia="Times New Roman" w:hAnsi="Times"/>
          <w:b/>
          <w:bCs/>
          <w:szCs w:val="24"/>
        </w:rPr>
      </w:pPr>
      <w:r w:rsidRPr="0024003B">
        <w:rPr>
          <w:rFonts w:ascii="Times" w:eastAsia="Times New Roman" w:hAnsi="Times"/>
          <w:b/>
          <w:bCs/>
          <w:szCs w:val="24"/>
        </w:rPr>
        <w:lastRenderedPageBreak/>
        <w:t>UZASADNIENIE</w:t>
      </w:r>
    </w:p>
    <w:p w14:paraId="4A99B99F" w14:textId="7F2A5E42" w:rsidR="009134AF" w:rsidRDefault="009134AF" w:rsidP="009134AF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 w:rsidRPr="00536D1F">
        <w:rPr>
          <w:rFonts w:ascii="Times" w:eastAsia="Times New Roman" w:hAnsi="Times"/>
          <w:bCs/>
        </w:rPr>
        <w:t>Projektowane rozporządzenie Ministra Cyfryzacji zmieniające rozporządzenie w sprawie profilu zaufanego i podpisu zaufanego</w:t>
      </w:r>
      <w:r>
        <w:rPr>
          <w:rFonts w:ascii="Times" w:eastAsia="Times New Roman" w:hAnsi="Times"/>
          <w:bCs/>
        </w:rPr>
        <w:t xml:space="preserve"> jest wydawane na podstawie upoważnienia ustawowego zawartego w </w:t>
      </w:r>
      <w:r w:rsidRPr="00536D1F">
        <w:rPr>
          <w:rFonts w:ascii="Times" w:eastAsia="Times New Roman" w:hAnsi="Times"/>
          <w:bCs/>
        </w:rPr>
        <w:t>art. 20d ustawy z dnia 17 lutego 2005 r. o informatyzacji działalności podmiotów realizujących zadania publiczne (Dz. U. z 2024 r. poz. 1557 i 1717 oraz z 2025 r. poz. 1006</w:t>
      </w:r>
      <w:r>
        <w:rPr>
          <w:rFonts w:ascii="Times" w:eastAsia="Times New Roman" w:hAnsi="Times"/>
          <w:bCs/>
        </w:rPr>
        <w:t xml:space="preserve">, </w:t>
      </w:r>
      <w:r w:rsidRPr="00B25B5B">
        <w:rPr>
          <w:rFonts w:ascii="Times" w:eastAsia="Times New Roman" w:hAnsi="Times"/>
          <w:bCs/>
        </w:rPr>
        <w:t>1019</w:t>
      </w:r>
      <w:r w:rsidR="0016663A">
        <w:t>,</w:t>
      </w:r>
      <w:r w:rsidRPr="00B25B5B">
        <w:rPr>
          <w:rFonts w:ascii="Times" w:eastAsia="Times New Roman" w:hAnsi="Times"/>
          <w:bCs/>
        </w:rPr>
        <w:t xml:space="preserve"> 1158</w:t>
      </w:r>
      <w:r w:rsidR="0016663A">
        <w:t xml:space="preserve"> i 1301</w:t>
      </w:r>
      <w:r w:rsidRPr="00536D1F">
        <w:rPr>
          <w:rFonts w:ascii="Times" w:eastAsia="Times New Roman" w:hAnsi="Times"/>
          <w:bCs/>
        </w:rPr>
        <w:t>)</w:t>
      </w:r>
      <w:r>
        <w:rPr>
          <w:rFonts w:ascii="Times" w:eastAsia="Times New Roman" w:hAnsi="Times"/>
          <w:bCs/>
        </w:rPr>
        <w:t>, zwanej dalej „ustawą”.</w:t>
      </w:r>
    </w:p>
    <w:p w14:paraId="11E9CFD2" w14:textId="732A69C5" w:rsidR="00206CA6" w:rsidRDefault="009134AF" w:rsidP="009E7A5D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Potrzeba wydania niniejszego rozporządzenia wynika z faktu, że w obecnym stanie prawnym r</w:t>
      </w:r>
      <w:r w:rsidRPr="00536D1F">
        <w:rPr>
          <w:rFonts w:ascii="Times" w:eastAsia="Times New Roman" w:hAnsi="Times"/>
          <w:bCs/>
        </w:rPr>
        <w:t>ozporządzenie Ministra Cyfryzacji z dnia 29 czerwca 2020 r. w sprawie profilu zaufanego i podpisu zaufanego (Dz. U. z 2023 r. poz. 2551</w:t>
      </w:r>
      <w:r>
        <w:rPr>
          <w:rFonts w:ascii="Times" w:eastAsia="Times New Roman" w:hAnsi="Times"/>
          <w:bCs/>
        </w:rPr>
        <w:t xml:space="preserve"> oraz z 2025 r. poz. 831</w:t>
      </w:r>
      <w:r w:rsidRPr="00536D1F">
        <w:rPr>
          <w:rFonts w:ascii="Times" w:eastAsia="Times New Roman" w:hAnsi="Times"/>
          <w:bCs/>
        </w:rPr>
        <w:t>)</w:t>
      </w:r>
      <w:r>
        <w:rPr>
          <w:rFonts w:ascii="Times" w:eastAsia="Times New Roman" w:hAnsi="Times"/>
          <w:bCs/>
        </w:rPr>
        <w:t>, zwane dalej „rozporządzeniem”,</w:t>
      </w:r>
      <w:r w:rsidR="009E7A5D">
        <w:t xml:space="preserve"> </w:t>
      </w:r>
      <w:r w:rsidR="00206CA6">
        <w:t>przewiduje</w:t>
      </w:r>
      <w:r w:rsidR="009E7A5D">
        <w:t xml:space="preserve"> </w:t>
      </w:r>
      <w:r w:rsidR="00206CA6">
        <w:t>możliwoś</w:t>
      </w:r>
      <w:r w:rsidR="009E7A5D">
        <w:t>ć</w:t>
      </w:r>
      <w:r w:rsidR="00206CA6">
        <w:t xml:space="preserve"> rezygnacji z uwierzytelniania </w:t>
      </w:r>
      <w:r w:rsidR="00F553B4">
        <w:br/>
      </w:r>
      <w:r w:rsidR="00206CA6">
        <w:t>z wykorzystaniem profilu osobistego</w:t>
      </w:r>
      <w:r w:rsidR="009E7A5D">
        <w:t xml:space="preserve"> (na równi z innymi sposobami uwierzytelniania)</w:t>
      </w:r>
      <w:r w:rsidR="00206CA6">
        <w:t xml:space="preserve">, </w:t>
      </w:r>
      <w:r w:rsidR="009E7A5D" w:rsidRPr="009E7A5D">
        <w:t>umożliwia przesyłanie komunikatów związanych z funkcjonowaniem konta profilu zaufanego jedynie na adres poczty elektronicznej (§ 10 ust. 10 rozporządzenia)</w:t>
      </w:r>
      <w:r w:rsidR="009E7A5D">
        <w:t xml:space="preserve"> oraz nie przewiduje możliwości dokonania przez posiadacza konta profilu zaufanego wyboru lub zmiany komunikatów</w:t>
      </w:r>
      <w:r w:rsidR="00F553B4">
        <w:t>,</w:t>
      </w:r>
      <w:r w:rsidR="009E7A5D">
        <w:t xml:space="preserve"> jakie chce otrzymywać</w:t>
      </w:r>
      <w:r w:rsidR="00F553B4">
        <w:t>,</w:t>
      </w:r>
      <w:r w:rsidR="009E7A5D">
        <w:t xml:space="preserve"> czy sposobu otrzymywania tych komunikatów.</w:t>
      </w:r>
    </w:p>
    <w:p w14:paraId="01A271A7" w14:textId="77777777" w:rsidR="009134AF" w:rsidRDefault="009134AF" w:rsidP="009134AF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W związku z powyższym projektowane rozporządzenie przewiduje zmiany dostosowawcze, które pozwolą udostępnić użytkownikom profilu zaufanego dodatkowe funkcjonalności oraz zwiększą bezpieczeństwo korzystania z niego.</w:t>
      </w:r>
    </w:p>
    <w:p w14:paraId="504733E5" w14:textId="5F16CAE0" w:rsidR="009E7A5D" w:rsidRDefault="009134AF" w:rsidP="009134AF">
      <w:pPr>
        <w:widowControl/>
        <w:suppressAutoHyphens/>
        <w:spacing w:before="120"/>
        <w:ind w:firstLine="510"/>
        <w:jc w:val="both"/>
      </w:pPr>
      <w:r>
        <w:rPr>
          <w:rFonts w:ascii="Times" w:eastAsia="Times New Roman" w:hAnsi="Times"/>
          <w:bCs/>
        </w:rPr>
        <w:t>Zmian</w:t>
      </w:r>
      <w:r w:rsidR="00137DEC">
        <w:t>y</w:t>
      </w:r>
      <w:r>
        <w:rPr>
          <w:rFonts w:ascii="Times" w:eastAsia="Times New Roman" w:hAnsi="Times"/>
          <w:bCs/>
        </w:rPr>
        <w:t xml:space="preserve"> opisan</w:t>
      </w:r>
      <w:r w:rsidR="00137DEC">
        <w:t>e</w:t>
      </w:r>
      <w:r>
        <w:rPr>
          <w:rFonts w:ascii="Times" w:eastAsia="Times New Roman" w:hAnsi="Times"/>
          <w:bCs/>
        </w:rPr>
        <w:t xml:space="preserve"> w </w:t>
      </w:r>
      <w:r w:rsidRPr="00883E38">
        <w:rPr>
          <w:rFonts w:ascii="Times" w:eastAsia="Times New Roman" w:hAnsi="Times"/>
          <w:bCs/>
        </w:rPr>
        <w:t>§</w:t>
      </w:r>
      <w:r>
        <w:rPr>
          <w:rFonts w:ascii="Times" w:eastAsia="Times New Roman" w:hAnsi="Times"/>
          <w:bCs/>
        </w:rPr>
        <w:t xml:space="preserve"> 1 pkt 1 </w:t>
      </w:r>
      <w:r w:rsidR="00137DEC">
        <w:t xml:space="preserve">i 2 </w:t>
      </w:r>
      <w:r>
        <w:rPr>
          <w:rFonts w:ascii="Times" w:eastAsia="Times New Roman" w:hAnsi="Times"/>
          <w:bCs/>
        </w:rPr>
        <w:t xml:space="preserve">projektowanego rozporządzenia </w:t>
      </w:r>
      <w:r w:rsidR="009E7A5D">
        <w:t>polega</w:t>
      </w:r>
      <w:r w:rsidR="00137DEC">
        <w:t>ją</w:t>
      </w:r>
      <w:r w:rsidR="009E7A5D">
        <w:t xml:space="preserve"> n</w:t>
      </w:r>
      <w:r w:rsidR="00137DEC">
        <w:t xml:space="preserve">a doprecyzowaniu, że uwierzytelnienie przy </w:t>
      </w:r>
      <w:r w:rsidR="00137DEC" w:rsidRPr="00137DEC">
        <w:t>użyciu profilu zaufanego może następować również</w:t>
      </w:r>
      <w:r w:rsidR="00137DEC">
        <w:t xml:space="preserve"> </w:t>
      </w:r>
      <w:r w:rsidR="00137DEC" w:rsidRPr="00137DEC">
        <w:t>z wykorzystaniem profilu osobistego</w:t>
      </w:r>
      <w:r w:rsidR="00137DEC">
        <w:t xml:space="preserve">. W projektowanym </w:t>
      </w:r>
      <w:r w:rsidR="00137DEC" w:rsidRPr="00137DEC">
        <w:t>§ 10</w:t>
      </w:r>
      <w:r w:rsidR="00137DEC">
        <w:t xml:space="preserve"> ust. 8a wskazano natomiast, że z możliwości tej posiadacz profilu zaufanego nie może zrezygnować. </w:t>
      </w:r>
      <w:r w:rsidR="00137DEC" w:rsidRPr="00137DEC">
        <w:t xml:space="preserve">Takie rozwiązanie przyczyni się do zwiększenia bezpieczeństwa korzystania </w:t>
      </w:r>
      <w:r w:rsidR="00F553B4">
        <w:br/>
      </w:r>
      <w:r w:rsidR="00137DEC" w:rsidRPr="00137DEC">
        <w:t>z profilu zaufanego</w:t>
      </w:r>
      <w:r w:rsidR="00137DEC">
        <w:t>.</w:t>
      </w:r>
    </w:p>
    <w:p w14:paraId="425BFC23" w14:textId="14781F03" w:rsidR="00D22EAA" w:rsidRDefault="00137DEC" w:rsidP="00D22EAA">
      <w:pPr>
        <w:widowControl/>
        <w:suppressAutoHyphens/>
        <w:spacing w:before="120"/>
        <w:ind w:firstLine="510"/>
        <w:jc w:val="both"/>
      </w:pPr>
      <w:r>
        <w:t xml:space="preserve">Zmiana opisana w </w:t>
      </w:r>
      <w:r w:rsidRPr="00137DEC">
        <w:t xml:space="preserve">§ 1 pkt </w:t>
      </w:r>
      <w:r>
        <w:t>3 projektowanego rozporządzenia polega na</w:t>
      </w:r>
      <w:r w:rsidR="00D22EAA">
        <w:t xml:space="preserve"> </w:t>
      </w:r>
      <w:r w:rsidRPr="00137DEC">
        <w:t>nadaniu nowego brzmienia § 10 ust. 10 rozporządzenia. Na jej skutek, po pierwsze, rozszerzony zostanie zakres komunikatów</w:t>
      </w:r>
      <w:r w:rsidR="00F553B4">
        <w:t>,</w:t>
      </w:r>
      <w:r w:rsidRPr="00137DEC">
        <w:t xml:space="preserve"> jakie otrzymywać będzie posiadacz profilu zaufanego (będą to komunikaty związane z funkcjonowaniem profilu zaufanego i konta profilu zaufanego, a nie jak obecnie tylko komunikaty związane z funkcjonowaniem konta profilu zaufanego). Po drugie, rozszerzony zostanie katalog kanałów komunikacji, za pośrednictwem których posiadacz profilu zaufanego będzie otrzymywać ww. komunikaty (</w:t>
      </w:r>
      <w:r w:rsidR="008C410C">
        <w:t xml:space="preserve">przesłanie na adres </w:t>
      </w:r>
      <w:r w:rsidRPr="00137DEC">
        <w:t xml:space="preserve">poczty </w:t>
      </w:r>
      <w:r w:rsidRPr="00137DEC">
        <w:lastRenderedPageBreak/>
        <w:t>elektronicznej lub udostępnienie w aplikacji mObywatel, jeżeli posiadacz konta profilu zaufanego jest jednocześnie użytkownikiem tej aplikacji</w:t>
      </w:r>
      <w:r w:rsidR="00D22EAA">
        <w:t xml:space="preserve"> </w:t>
      </w:r>
      <w:r w:rsidR="00D22EAA" w:rsidRPr="000B323E">
        <w:t>i wyraził zgodę na otrzymywanie komunikatów</w:t>
      </w:r>
      <w:r w:rsidRPr="00137DEC">
        <w:t>, a nie jak dotychczas tylko adres poczty elektronicznej).</w:t>
      </w:r>
    </w:p>
    <w:p w14:paraId="225CE05B" w14:textId="71FA0DF6" w:rsidR="009E7A5D" w:rsidRPr="00F0303B" w:rsidRDefault="00D22EAA" w:rsidP="00F0303B">
      <w:pPr>
        <w:widowControl/>
        <w:suppressAutoHyphens/>
        <w:spacing w:before="120"/>
        <w:ind w:firstLine="510"/>
        <w:jc w:val="both"/>
      </w:pPr>
      <w:r>
        <w:t xml:space="preserve">Zmiana opisana w </w:t>
      </w:r>
      <w:r w:rsidRPr="00D22EAA">
        <w:t>§ 1 pkt</w:t>
      </w:r>
      <w:r>
        <w:t xml:space="preserve"> 4 polega na dodaniu w </w:t>
      </w:r>
      <w:r w:rsidRPr="00D22EAA">
        <w:t>§ 10</w:t>
      </w:r>
      <w:r>
        <w:t xml:space="preserve"> rozporządzenia nowych ust. 10a </w:t>
      </w:r>
      <w:r w:rsidR="00F553B4">
        <w:br/>
      </w:r>
      <w:r>
        <w:t xml:space="preserve">i 10b. </w:t>
      </w:r>
      <w:r w:rsidRPr="00D22EAA">
        <w:t xml:space="preserve">Zgodnie z </w:t>
      </w:r>
      <w:r>
        <w:t>ust. 10a</w:t>
      </w:r>
      <w:r w:rsidR="00F553B4">
        <w:t>,</w:t>
      </w:r>
      <w:r>
        <w:t xml:space="preserve"> </w:t>
      </w:r>
      <w:r w:rsidRPr="00D22EAA">
        <w:t>posiadacz konta profilu zaufanego będzie mógł dokonać wyboru lub zmiany komunikatów związanych z funkcjonowaniem profilu zaufanego i konta profilu zaufanego, które chce otrzymywać</w:t>
      </w:r>
      <w:r w:rsidR="00F553B4">
        <w:t>,</w:t>
      </w:r>
      <w:r>
        <w:t xml:space="preserve"> oraz </w:t>
      </w:r>
      <w:r w:rsidRPr="00D22EAA">
        <w:t xml:space="preserve">sposobu otrzymywania komunikatów związanych </w:t>
      </w:r>
      <w:r w:rsidR="00F553B4">
        <w:br/>
      </w:r>
      <w:r w:rsidRPr="00D22EAA">
        <w:t>z funkcjonowaniem profilu zaufanego i konta profilu zaufanego</w:t>
      </w:r>
      <w:r>
        <w:t xml:space="preserve"> (</w:t>
      </w:r>
      <w:r w:rsidR="00F0303B">
        <w:t xml:space="preserve">na adres poczty elektronicznej, w aplikacji mObywatel lub za pomocą obu tych kanałów komunikacji). Obu tych zmian będzie można dokonać </w:t>
      </w:r>
      <w:r w:rsidR="00F0303B" w:rsidRPr="00F25497">
        <w:t>samodzielnie w systemie, w</w:t>
      </w:r>
      <w:r w:rsidR="00F0303B" w:rsidRPr="00F0303B">
        <w:t> którym wydawany jest profil zaufany</w:t>
      </w:r>
      <w:r w:rsidR="00F0303B">
        <w:t xml:space="preserve">. </w:t>
      </w:r>
      <w:r w:rsidRPr="00D22EAA">
        <w:t xml:space="preserve">Powyższa możliwość </w:t>
      </w:r>
      <w:r w:rsidR="00F0303B">
        <w:t xml:space="preserve">wyboru lub zmiany </w:t>
      </w:r>
      <w:r w:rsidRPr="00D22EAA">
        <w:t>nie będzie dotyczyć sytuacji, gdzie rozporządzenie wskazuje expressis verbis dany sposób informowania użytkownika (tak jak ma to miejsce w § 5 ust. 3, § 12 ust. 4, § 15 ust. 5 oraz § 22 ust. 2 rozporządzenia).</w:t>
      </w:r>
      <w:r w:rsidR="00F0303B">
        <w:t xml:space="preserve"> Posiadacz profilu zaufanego nie będzie mógł również zrezygnować z </w:t>
      </w:r>
      <w:r w:rsidR="00F0303B" w:rsidRPr="00F0303B">
        <w:t>otrzymywania komunikatów generowanych przez system, w którym jest wydawany profil zaufany, dotyczących zdarzeń związanych z bezpieczeństwem profilu zaufanego</w:t>
      </w:r>
      <w:r w:rsidR="00F0303B">
        <w:t xml:space="preserve"> (zgodnie z projektowanym </w:t>
      </w:r>
      <w:r w:rsidR="00F0303B" w:rsidRPr="00F0303B">
        <w:t>§ 10</w:t>
      </w:r>
      <w:r w:rsidR="00F0303B">
        <w:t xml:space="preserve"> ust. 10b rozporządzenia)</w:t>
      </w:r>
      <w:r w:rsidR="00F0303B" w:rsidRPr="00F0303B">
        <w:t>.</w:t>
      </w:r>
    </w:p>
    <w:p w14:paraId="6C00A34F" w14:textId="5F4A78D9" w:rsidR="009134AF" w:rsidRPr="0024003B" w:rsidRDefault="009134AF" w:rsidP="009134AF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 w:rsidRPr="0024003B">
        <w:rPr>
          <w:rFonts w:ascii="Times" w:eastAsia="Times New Roman" w:hAnsi="Times"/>
          <w:bCs/>
        </w:rPr>
        <w:t xml:space="preserve">Proponuje się, aby rozporządzenie weszło w życie z dniem </w:t>
      </w:r>
      <w:r>
        <w:t>12 stycznia 2026 r</w:t>
      </w:r>
      <w:r>
        <w:rPr>
          <w:rFonts w:ascii="Times" w:eastAsia="Times New Roman" w:hAnsi="Times"/>
          <w:bCs/>
        </w:rPr>
        <w:t>.</w:t>
      </w:r>
      <w:r w:rsidRPr="0024003B">
        <w:rPr>
          <w:rFonts w:ascii="Times" w:eastAsia="Times New Roman" w:hAnsi="Times"/>
          <w:bCs/>
        </w:rPr>
        <w:t xml:space="preserve"> </w:t>
      </w:r>
      <w:r w:rsidRPr="00DB7B59">
        <w:rPr>
          <w:rFonts w:ascii="Times" w:eastAsia="Times New Roman" w:hAnsi="Times"/>
          <w:bCs/>
        </w:rPr>
        <w:t xml:space="preserve">Wskazanie </w:t>
      </w:r>
      <w:r w:rsidR="008C410C">
        <w:rPr>
          <w:rFonts w:ascii="Times" w:eastAsia="Times New Roman" w:hAnsi="Times"/>
          <w:bCs/>
        </w:rPr>
        <w:t>terminu</w:t>
      </w:r>
      <w:r w:rsidR="008C410C" w:rsidRPr="00DB7B59">
        <w:rPr>
          <w:rFonts w:ascii="Times" w:eastAsia="Times New Roman" w:hAnsi="Times"/>
          <w:bCs/>
        </w:rPr>
        <w:t xml:space="preserve"> </w:t>
      </w:r>
      <w:r w:rsidRPr="00DB7B59">
        <w:rPr>
          <w:rFonts w:ascii="Times" w:eastAsia="Times New Roman" w:hAnsi="Times"/>
          <w:bCs/>
        </w:rPr>
        <w:t xml:space="preserve">wejścia w życie </w:t>
      </w:r>
      <w:r>
        <w:rPr>
          <w:rFonts w:ascii="Times" w:eastAsia="Times New Roman" w:hAnsi="Times"/>
          <w:bCs/>
        </w:rPr>
        <w:t>rozporządzenia</w:t>
      </w:r>
      <w:r w:rsidRPr="00DB7B59">
        <w:rPr>
          <w:rFonts w:ascii="Times" w:eastAsia="Times New Roman" w:hAnsi="Times"/>
          <w:bCs/>
        </w:rPr>
        <w:t xml:space="preserve"> jako dnia oznaczonego kalendarzowo uzasadnione jest przesłankami organizacyjnymi i technicznymi. Na ten dzień planuje się uruchomienie funkcjonalności będących przedmiotem regulacji rozporządzenia</w:t>
      </w:r>
      <w:r>
        <w:rPr>
          <w:rFonts w:ascii="Times" w:eastAsia="Times New Roman" w:hAnsi="Times"/>
          <w:bCs/>
        </w:rPr>
        <w:t>.</w:t>
      </w:r>
    </w:p>
    <w:p w14:paraId="6F860CA0" w14:textId="77777777" w:rsidR="009134AF" w:rsidRPr="0024003B" w:rsidRDefault="009134AF" w:rsidP="009134AF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 w:rsidRPr="0024003B">
        <w:rPr>
          <w:rFonts w:ascii="Times" w:eastAsia="Times New Roman" w:hAnsi="Times"/>
          <w:bCs/>
        </w:rPr>
        <w:t>W ocenie projektodawcy proponowana regulacja nie wymaga wprowadzeni</w:t>
      </w:r>
      <w:r>
        <w:t>a</w:t>
      </w:r>
      <w:r w:rsidRPr="0024003B">
        <w:rPr>
          <w:rFonts w:ascii="Times" w:eastAsia="Times New Roman" w:hAnsi="Times"/>
          <w:bCs/>
        </w:rPr>
        <w:t xml:space="preserve"> przepisów przejściowych.</w:t>
      </w:r>
      <w:r>
        <w:rPr>
          <w:rFonts w:ascii="Times" w:eastAsia="Times New Roman" w:hAnsi="Times"/>
          <w:bCs/>
        </w:rPr>
        <w:t xml:space="preserve"> Zmiana polega na wprowadzeniu nowych funkcjonalności. Taki charakter przepisów nie wymaga ustanawiania dla nich dodatkowych przepisów intertemporalnych.</w:t>
      </w:r>
      <w:r w:rsidRPr="0024003B">
        <w:rPr>
          <w:rFonts w:ascii="Times" w:eastAsia="Times New Roman" w:hAnsi="Times"/>
          <w:bCs/>
        </w:rPr>
        <w:t xml:space="preserve"> </w:t>
      </w:r>
    </w:p>
    <w:p w14:paraId="049F4AF1" w14:textId="77777777" w:rsidR="009134AF" w:rsidRPr="0024003B" w:rsidRDefault="009134AF" w:rsidP="009134AF">
      <w:pPr>
        <w:widowControl/>
        <w:suppressAutoHyphens/>
        <w:spacing w:before="120"/>
        <w:ind w:firstLine="510"/>
        <w:jc w:val="both"/>
        <w:rPr>
          <w:rFonts w:ascii="Times" w:eastAsia="Times New Roman" w:hAnsi="Times"/>
          <w:bCs/>
        </w:rPr>
      </w:pPr>
      <w:r w:rsidRPr="0024003B">
        <w:rPr>
          <w:rFonts w:ascii="Times" w:eastAsia="Times New Roman" w:hAnsi="Times"/>
        </w:rPr>
        <w:t>Projektowana regulacja nie zawiera przepisów technicznych w rozumieniu rozporządzenia Rady Ministrów z dnia 23 grudnia 2002 r. w sprawie sposobu funkcjonowania krajowego systemu notyfikacji norm i aktów prawnych (Dz. U. poz. 2039</w:t>
      </w:r>
      <w:r>
        <w:t xml:space="preserve"> oraz z 2004 r. poz. 597</w:t>
      </w:r>
      <w:r w:rsidRPr="0024003B">
        <w:rPr>
          <w:rFonts w:ascii="Times" w:eastAsia="Times New Roman" w:hAnsi="Times"/>
        </w:rPr>
        <w:t>).</w:t>
      </w:r>
    </w:p>
    <w:p w14:paraId="6E0AB9EB" w14:textId="77777777" w:rsidR="009134AF" w:rsidRPr="0024003B" w:rsidRDefault="009134AF" w:rsidP="009134AF">
      <w:pPr>
        <w:widowControl/>
        <w:suppressAutoHyphens/>
        <w:spacing w:before="120"/>
        <w:ind w:firstLine="561"/>
        <w:jc w:val="both"/>
        <w:rPr>
          <w:rFonts w:ascii="Times" w:eastAsia="Times New Roman" w:hAnsi="Times"/>
        </w:rPr>
      </w:pPr>
      <w:r w:rsidRPr="0024003B">
        <w:rPr>
          <w:rFonts w:ascii="Times" w:eastAsia="Times New Roman" w:hAnsi="Times"/>
        </w:rPr>
        <w:t>Projektowana regulacja nie będzie wymagała notyfikacji Komisji Europejskiej w trybie ustawy z dnia 30 kwietnia 2004 r. o postępowaniu w sprawach dotyczących pomocy publicznej (Dz. U. z 202</w:t>
      </w:r>
      <w:r>
        <w:t>5</w:t>
      </w:r>
      <w:r w:rsidRPr="0024003B">
        <w:rPr>
          <w:rFonts w:ascii="Times" w:eastAsia="Times New Roman" w:hAnsi="Times"/>
        </w:rPr>
        <w:t xml:space="preserve"> r. poz. </w:t>
      </w:r>
      <w:r>
        <w:t>468</w:t>
      </w:r>
      <w:r w:rsidRPr="0024003B">
        <w:rPr>
          <w:rFonts w:ascii="Times" w:eastAsia="Times New Roman" w:hAnsi="Times"/>
        </w:rPr>
        <w:t>).</w:t>
      </w:r>
    </w:p>
    <w:p w14:paraId="2C8B5951" w14:textId="77777777" w:rsidR="009134AF" w:rsidRPr="0024003B" w:rsidRDefault="009134AF" w:rsidP="009134AF">
      <w:pPr>
        <w:widowControl/>
        <w:suppressAutoHyphens/>
        <w:spacing w:before="120"/>
        <w:ind w:firstLine="561"/>
        <w:jc w:val="both"/>
        <w:rPr>
          <w:rFonts w:ascii="Times" w:eastAsia="Times New Roman" w:hAnsi="Times"/>
        </w:rPr>
      </w:pPr>
      <w:r w:rsidRPr="0024003B">
        <w:rPr>
          <w:rFonts w:ascii="Times" w:eastAsia="Times New Roman" w:hAnsi="Times"/>
        </w:rPr>
        <w:lastRenderedPageBreak/>
        <w:t>Projekt rozporządzenia nie jest sprzeczny z prawem Unii Europejskiej.</w:t>
      </w:r>
    </w:p>
    <w:p w14:paraId="78EE5675" w14:textId="77777777" w:rsidR="009134AF" w:rsidRPr="0024003B" w:rsidRDefault="009134AF" w:rsidP="009134AF">
      <w:pPr>
        <w:widowControl/>
        <w:suppressAutoHyphens/>
        <w:spacing w:before="120"/>
        <w:ind w:firstLine="561"/>
        <w:jc w:val="both"/>
        <w:rPr>
          <w:rFonts w:ascii="Times" w:eastAsia="Times New Roman" w:hAnsi="Times"/>
        </w:rPr>
      </w:pPr>
      <w:r w:rsidRPr="0024003B">
        <w:rPr>
          <w:rFonts w:ascii="Times" w:eastAsia="Times New Roman" w:hAnsi="Times"/>
        </w:rPr>
        <w:t>Projekt rozporządzenia nie wymaga przedłożenia instytucjom i organom Unii Europejskiej, w tym Europejskiemu Bankowi Centralnemu, w celu uzyskania opinii, dokonania powiadomienia, konsultacji albo uzgodnienia.</w:t>
      </w:r>
    </w:p>
    <w:p w14:paraId="6A77C521" w14:textId="77777777" w:rsidR="009134AF" w:rsidRPr="00737F6A" w:rsidRDefault="009134AF" w:rsidP="009134AF">
      <w:pPr>
        <w:widowControl/>
        <w:suppressAutoHyphens/>
        <w:spacing w:before="120"/>
        <w:ind w:firstLine="561"/>
        <w:jc w:val="both"/>
      </w:pPr>
      <w:r w:rsidRPr="0024003B">
        <w:rPr>
          <w:rFonts w:ascii="Times" w:eastAsia="Times New Roman" w:hAnsi="Times"/>
        </w:rPr>
        <w:t xml:space="preserve">Projekt </w:t>
      </w:r>
      <w:r>
        <w:t xml:space="preserve">rozporządzenia </w:t>
      </w:r>
      <w:r w:rsidRPr="0024003B">
        <w:rPr>
          <w:rFonts w:ascii="Times" w:eastAsia="Times New Roman" w:hAnsi="Times"/>
        </w:rPr>
        <w:t>zosta</w:t>
      </w:r>
      <w:r>
        <w:t>ł</w:t>
      </w:r>
      <w:r w:rsidRPr="0024003B">
        <w:rPr>
          <w:rFonts w:ascii="Times" w:eastAsia="Times New Roman" w:hAnsi="Times"/>
        </w:rPr>
        <w:t xml:space="preserve"> udostępniony w Biuletynie Informacji Publicznej na stronie Rządowego Centrum Legislacji w zakładce Rządowy Proces Legislacyjny</w:t>
      </w:r>
      <w:r>
        <w:t>,</w:t>
      </w:r>
      <w:r w:rsidRPr="0024003B">
        <w:rPr>
          <w:rFonts w:ascii="Times" w:eastAsia="Times New Roman" w:hAnsi="Times"/>
        </w:rPr>
        <w:t xml:space="preserve"> zgodnie z</w:t>
      </w:r>
      <w:r>
        <w:rPr>
          <w:rFonts w:ascii="Times" w:eastAsia="Times New Roman" w:hAnsi="Times"/>
        </w:rPr>
        <w:t> </w:t>
      </w:r>
      <w:r w:rsidRPr="0024003B">
        <w:rPr>
          <w:rFonts w:ascii="Times" w:eastAsia="Times New Roman" w:hAnsi="Times"/>
        </w:rPr>
        <w:t>§</w:t>
      </w:r>
      <w:r>
        <w:rPr>
          <w:rFonts w:ascii="Times" w:eastAsia="Times New Roman" w:hAnsi="Times"/>
        </w:rPr>
        <w:t> </w:t>
      </w:r>
      <w:r w:rsidRPr="0024003B">
        <w:rPr>
          <w:rFonts w:ascii="Times" w:eastAsia="Times New Roman" w:hAnsi="Times"/>
        </w:rPr>
        <w:t xml:space="preserve">52 </w:t>
      </w:r>
      <w:r>
        <w:t xml:space="preserve">ust. 1 </w:t>
      </w:r>
      <w:r w:rsidRPr="0024003B">
        <w:rPr>
          <w:rFonts w:ascii="Times" w:eastAsia="Times New Roman" w:hAnsi="Times"/>
        </w:rPr>
        <w:t xml:space="preserve">uchwały nr 190 Rady Ministrów z dnia 29 października 2013 r. – Regulamin pracy Rady Ministrów </w:t>
      </w:r>
      <w:r>
        <w:t xml:space="preserve">(M.P. z 2024 r. poz. 806 oraz z 2025 r. poz. 408), </w:t>
      </w:r>
      <w:r w:rsidRPr="0024003B">
        <w:rPr>
          <w:rFonts w:ascii="Times" w:eastAsia="Times New Roman" w:hAnsi="Times"/>
        </w:rPr>
        <w:t xml:space="preserve">oraz </w:t>
      </w:r>
      <w:r w:rsidRPr="00036E32">
        <w:t>–</w:t>
      </w:r>
      <w:r>
        <w:t xml:space="preserve"> </w:t>
      </w:r>
      <w:r w:rsidRPr="0024003B">
        <w:rPr>
          <w:rFonts w:ascii="Times" w:eastAsia="Times New Roman" w:hAnsi="Times"/>
        </w:rPr>
        <w:t>stosownie do wymogów art. 5 ustawy z dnia 7 lipca 2005 r. o działalności lobbingowej w procesie stanowienia prawa (Dz. U. z 20</w:t>
      </w:r>
      <w:r>
        <w:t>25</w:t>
      </w:r>
      <w:r w:rsidRPr="0024003B">
        <w:rPr>
          <w:rFonts w:ascii="Times" w:eastAsia="Times New Roman" w:hAnsi="Times"/>
        </w:rPr>
        <w:t xml:space="preserve"> r. poz. </w:t>
      </w:r>
      <w:r>
        <w:t>677</w:t>
      </w:r>
      <w:r w:rsidRPr="0024003B">
        <w:rPr>
          <w:rFonts w:ascii="Times" w:eastAsia="Times New Roman" w:hAnsi="Times"/>
        </w:rPr>
        <w:t xml:space="preserve">) </w:t>
      </w:r>
      <w:r w:rsidRPr="00036E32">
        <w:t>–</w:t>
      </w:r>
      <w:r>
        <w:t xml:space="preserve"> </w:t>
      </w:r>
      <w:r w:rsidRPr="0024003B">
        <w:rPr>
          <w:rFonts w:ascii="Times" w:eastAsia="Times New Roman" w:hAnsi="Times"/>
        </w:rPr>
        <w:t>w Biuletynie Informacji Publicznej na stronie podmiotowej Ministra Cyfryzacji.</w:t>
      </w:r>
    </w:p>
    <w:p w14:paraId="15E0B873" w14:textId="5BE3D5B4" w:rsidR="009134AF" w:rsidRDefault="009134AF">
      <w:pPr>
        <w:widowControl/>
        <w:autoSpaceDE/>
        <w:autoSpaceDN/>
        <w:adjustRightInd/>
      </w:pPr>
      <w:r>
        <w:br w:type="page"/>
      </w:r>
    </w:p>
    <w:tbl>
      <w:tblPr>
        <w:tblpPr w:leftFromText="141" w:rightFromText="141" w:vertAnchor="page" w:horzAnchor="margin" w:tblpXSpec="center" w:tblpY="663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560"/>
        <w:gridCol w:w="644"/>
        <w:gridCol w:w="348"/>
        <w:gridCol w:w="538"/>
        <w:gridCol w:w="413"/>
        <w:gridCol w:w="155"/>
        <w:gridCol w:w="186"/>
        <w:gridCol w:w="382"/>
        <w:gridCol w:w="568"/>
        <w:gridCol w:w="24"/>
        <w:gridCol w:w="245"/>
        <w:gridCol w:w="299"/>
        <w:gridCol w:w="368"/>
        <w:gridCol w:w="200"/>
        <w:gridCol w:w="568"/>
        <w:gridCol w:w="80"/>
        <w:gridCol w:w="87"/>
        <w:gridCol w:w="401"/>
        <w:gridCol w:w="113"/>
        <w:gridCol w:w="454"/>
        <w:gridCol w:w="181"/>
        <w:gridCol w:w="387"/>
        <w:gridCol w:w="367"/>
        <w:gridCol w:w="201"/>
        <w:gridCol w:w="568"/>
        <w:gridCol w:w="165"/>
        <w:gridCol w:w="1293"/>
        <w:gridCol w:w="123"/>
      </w:tblGrid>
      <w:tr w:rsidR="009134AF" w:rsidRPr="009134AF" w14:paraId="4112982A" w14:textId="77777777" w:rsidTr="00547A93">
        <w:trPr>
          <w:trHeight w:val="1611"/>
        </w:trPr>
        <w:tc>
          <w:tcPr>
            <w:tcW w:w="6607" w:type="dxa"/>
            <w:gridSpan w:val="17"/>
            <w:shd w:val="clear" w:color="auto" w:fill="FFFFFF"/>
          </w:tcPr>
          <w:p w14:paraId="6F3FC3B1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bookmarkStart w:id="3" w:name="t1"/>
            <w:r w:rsidRPr="00F553B4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lastRenderedPageBreak/>
              <w:t>Nazwa projektu</w:t>
            </w:r>
          </w:p>
          <w:p w14:paraId="7C43478C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Rozporządzenie Ministra Cyfryzacji zmieniające rozporządzenie w sprawie profilu zaufanego i podpisu zaufanego</w:t>
            </w:r>
          </w:p>
          <w:p w14:paraId="3C1CB594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Ministerstwo wiodące i ministerstwa współpracujące</w:t>
            </w:r>
          </w:p>
          <w:bookmarkEnd w:id="3"/>
          <w:p w14:paraId="346EC203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Ministerstwo Cyfryzacji</w:t>
            </w:r>
          </w:p>
          <w:p w14:paraId="1815BF5D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  <w:p w14:paraId="155B1733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Osoba odpowiedzialna za projekt w randze Ministra, Sekretarza Stanu lub Podsekretarza Stanu </w:t>
            </w:r>
          </w:p>
          <w:p w14:paraId="6295ACC8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sz w:val="22"/>
                <w:szCs w:val="22"/>
                <w:lang w:eastAsia="en-US"/>
              </w:rPr>
              <w:t>Dariusz Standerski - Sekretarz Stanu w Ministerstwie Cyfryzacji</w:t>
            </w:r>
          </w:p>
          <w:p w14:paraId="231269C5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Kontakt do opiekuna merytorycznego projektu</w:t>
            </w:r>
          </w:p>
          <w:p w14:paraId="3B0781CA" w14:textId="0F7CDE6C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eastAsia="Calibri" w:cs="Times New Roman"/>
                <w:color w:val="000000"/>
                <w:sz w:val="22"/>
                <w:szCs w:val="22"/>
                <w:lang w:val="it-IT"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Monika Małowiecka - Zastępca Dyrektora Departamentu Transformacji Cyfrowej w Ministerstwie Cyfryzacji</w:t>
            </w:r>
            <w:r w:rsidR="008C410C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F553B4">
              <w:rPr>
                <w:rFonts w:eastAsia="Calibri" w:cs="Times New Roman"/>
                <w:color w:val="000000"/>
                <w:sz w:val="22"/>
                <w:szCs w:val="22"/>
                <w:lang w:val="en-GB" w:eastAsia="en-US"/>
              </w:rPr>
              <w:t xml:space="preserve">e-mail: </w:t>
            </w:r>
            <w:hyperlink r:id="rId9" w:history="1">
              <w:r w:rsidRPr="00F553B4">
                <w:rPr>
                  <w:rFonts w:eastAsia="Calibri" w:cs="Times New Roman"/>
                  <w:color w:val="0000FF"/>
                  <w:sz w:val="22"/>
                  <w:szCs w:val="22"/>
                  <w:u w:val="single"/>
                  <w:lang w:val="en-GB" w:eastAsia="en-US"/>
                </w:rPr>
                <w:t>monika.malowiecka3@cyfra.gov.pl</w:t>
              </w:r>
            </w:hyperlink>
            <w:r w:rsidRPr="00F553B4">
              <w:rPr>
                <w:rFonts w:eastAsia="Calibri" w:cs="Times New Roman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4340" w:type="dxa"/>
            <w:gridSpan w:val="12"/>
            <w:shd w:val="clear" w:color="auto" w:fill="FFFFFF"/>
          </w:tcPr>
          <w:p w14:paraId="2A0B05E4" w14:textId="446D7CCC" w:rsidR="009134AF" w:rsidRPr="00F553B4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sz w:val="22"/>
                <w:szCs w:val="22"/>
                <w:lang w:eastAsia="en-US"/>
              </w:rPr>
              <w:t>Data sporządzenia</w:t>
            </w:r>
            <w:r w:rsidRPr="00F553B4">
              <w:rPr>
                <w:rFonts w:eastAsia="Calibri" w:cs="Times New Roman"/>
                <w:b/>
                <w:sz w:val="22"/>
                <w:szCs w:val="22"/>
                <w:lang w:eastAsia="en-US"/>
              </w:rPr>
              <w:br/>
            </w:r>
            <w:r w:rsidR="009254B6">
              <w:rPr>
                <w:sz w:val="22"/>
                <w:szCs w:val="22"/>
              </w:rPr>
              <w:t>3</w:t>
            </w:r>
            <w:r w:rsidR="008C410C">
              <w:rPr>
                <w:sz w:val="22"/>
                <w:szCs w:val="22"/>
              </w:rPr>
              <w:t>1</w:t>
            </w:r>
            <w:r w:rsidRPr="00F553B4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.10.2025</w:t>
            </w:r>
          </w:p>
          <w:p w14:paraId="03EDB7B3" w14:textId="77777777" w:rsidR="009134AF" w:rsidRPr="00F553B4" w:rsidRDefault="009134AF" w:rsidP="009134AF">
            <w:pPr>
              <w:widowControl/>
              <w:shd w:val="clear" w:color="auto" w:fill="FFFFFF"/>
              <w:autoSpaceDE/>
              <w:autoSpaceDN/>
              <w:adjustRightInd/>
              <w:spacing w:line="240" w:lineRule="auto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Źródło: </w:t>
            </w:r>
            <w:bookmarkStart w:id="4" w:name="Lista1"/>
          </w:p>
          <w:bookmarkEnd w:id="4"/>
          <w:p w14:paraId="51AD0686" w14:textId="739C61B0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sz w:val="22"/>
                <w:szCs w:val="22"/>
                <w:lang w:eastAsia="en-US"/>
              </w:rPr>
              <w:t>Upoważnienie ustawowe - art. 20d ustawy z dnia 17 lutego 2005 r. o informatyzacji działalności podmiotów realizujących zadania publiczne (Dz. U. z 2024 r. poz. 1557</w:t>
            </w:r>
            <w:r w:rsidR="008C410C">
              <w:rPr>
                <w:rFonts w:eastAsia="Calibri" w:cs="Times New Roman"/>
                <w:sz w:val="22"/>
                <w:szCs w:val="22"/>
                <w:lang w:eastAsia="en-US"/>
              </w:rPr>
              <w:t xml:space="preserve">, z </w:t>
            </w:r>
            <w:proofErr w:type="spellStart"/>
            <w:r w:rsidR="008C410C">
              <w:rPr>
                <w:rFonts w:eastAsia="Calibri" w:cs="Times New Roman"/>
                <w:sz w:val="22"/>
                <w:szCs w:val="22"/>
                <w:lang w:eastAsia="en-US"/>
              </w:rPr>
              <w:t>późn</w:t>
            </w:r>
            <w:proofErr w:type="spellEnd"/>
            <w:r w:rsidR="008C410C">
              <w:rPr>
                <w:rFonts w:eastAsia="Calibri" w:cs="Times New Roman"/>
                <w:sz w:val="22"/>
                <w:szCs w:val="22"/>
                <w:lang w:eastAsia="en-US"/>
              </w:rPr>
              <w:t>. zm.</w:t>
            </w:r>
            <w:r w:rsidRPr="00F553B4">
              <w:rPr>
                <w:rFonts w:eastAsia="Calibri" w:cs="Times New Roman"/>
                <w:sz w:val="22"/>
                <w:szCs w:val="22"/>
                <w:lang w:eastAsia="en-US"/>
              </w:rPr>
              <w:t>)</w:t>
            </w:r>
          </w:p>
          <w:p w14:paraId="75E01ADE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3173AED6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Nr w wykazie prac </w:t>
            </w:r>
          </w:p>
          <w:p w14:paraId="3E0708B5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……….</w:t>
            </w:r>
          </w:p>
          <w:p w14:paraId="2EE5CDBD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9134AF" w:rsidRPr="009134AF" w14:paraId="7F325DD5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0164483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ind w:left="57"/>
              <w:jc w:val="center"/>
              <w:rPr>
                <w:rFonts w:eastAsia="Calibri" w:cs="Times New Roman"/>
                <w:b/>
                <w:color w:val="FFFFFF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FFFFFF"/>
                <w:sz w:val="22"/>
                <w:szCs w:val="22"/>
                <w:lang w:eastAsia="en-US"/>
              </w:rPr>
              <w:t>OCENA SKUTKÓW REGULACJI</w:t>
            </w:r>
          </w:p>
        </w:tc>
      </w:tr>
      <w:tr w:rsidR="009134AF" w:rsidRPr="009134AF" w14:paraId="154E380F" w14:textId="77777777" w:rsidTr="00547A93">
        <w:trPr>
          <w:trHeight w:val="33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4A46B302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sz w:val="22"/>
                <w:szCs w:val="22"/>
                <w:lang w:eastAsia="en-US"/>
              </w:rPr>
              <w:t>Jaki problem jest rozwiązywany?</w:t>
            </w:r>
            <w:bookmarkStart w:id="5" w:name="Wybór1"/>
            <w:bookmarkEnd w:id="5"/>
          </w:p>
        </w:tc>
      </w:tr>
      <w:tr w:rsidR="009134AF" w:rsidRPr="009134AF" w14:paraId="5075B13B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0059F9EF" w14:textId="29AC77C4" w:rsidR="00861F9C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W obecnym stanie prawnym rozporządzenie Ministra Cyfryzacji z dnia 29 czerwca 2020 r. w sprawie profilu zaufanego i podpisu zaufanego (Dz. U. z 2023 r. poz. 2551 z późn. zm.</w:t>
            </w:r>
            <w:r w:rsidR="008C410C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gramStart"/>
            <w:r w:rsidR="008C410C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zwane </w:t>
            </w: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dalej</w:t>
            </w:r>
            <w:proofErr w:type="gramEnd"/>
            <w:r w:rsidR="008C410C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„rozporządzenie</w:t>
            </w:r>
            <w:r w:rsidR="008C410C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m</w:t>
            </w: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”:</w:t>
            </w:r>
          </w:p>
          <w:p w14:paraId="6A8B4969" w14:textId="78431C93" w:rsidR="009134AF" w:rsidRPr="00F553B4" w:rsidRDefault="00AC6B84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sz w:val="22"/>
                <w:szCs w:val="22"/>
              </w:rPr>
              <w:t>1</w:t>
            </w:r>
            <w:r w:rsidR="009134AF"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. umożliwia przesyłanie komunikatów związanych z funkcjonowaniem konta profilu zaufanego jedynie na adres poczty elektronicznej;</w:t>
            </w:r>
          </w:p>
          <w:p w14:paraId="7C8C43E4" w14:textId="1911E206" w:rsidR="009134AF" w:rsidRPr="00F553B4" w:rsidRDefault="00AC6B84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sz w:val="22"/>
                <w:szCs w:val="22"/>
              </w:rPr>
              <w:t>2</w:t>
            </w:r>
            <w:r w:rsidR="009134AF"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. nie przewiduje możliwości dokonania przez posiadacza konta profilu zaufanego zmian w zakresie sposobu otrzymywania komunikatów związanych z funkcjonowaniem profilu zaufanego i konta profilu zaufanego czy rodzaju komunikatów związanych z funkcjonowaniem profilu zaufanego i konta profilu zaufanego, które chce otrzymywać;</w:t>
            </w:r>
          </w:p>
          <w:p w14:paraId="545AE6F5" w14:textId="587B6C66" w:rsidR="00AC6B84" w:rsidRPr="00F553B4" w:rsidRDefault="00AC6B84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F553B4">
              <w:rPr>
                <w:sz w:val="22"/>
                <w:szCs w:val="22"/>
              </w:rPr>
              <w:t>3. nie przewiduje, że z możliwości uwierzytelnienia przy użyciu profilu zaufanego z wykorzystaniem profilu osobistego nie można zrezygnować</w:t>
            </w:r>
            <w:r w:rsidR="008C410C">
              <w:rPr>
                <w:sz w:val="22"/>
                <w:szCs w:val="22"/>
              </w:rPr>
              <w:t>.</w:t>
            </w:r>
          </w:p>
          <w:p w14:paraId="4FF3A10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120" w:after="120" w:line="240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Rozwój systemu, w którym wydawany jest profil zaufany, chęć udostępnienia użytkownikom konta profilu zaufanego nowych funkcjonalności oraz zwiększenie bezpieczeństwa korzystania z profilu zaufanego determinuje konieczność zmian w rozporządzeniu.</w:t>
            </w:r>
          </w:p>
        </w:tc>
      </w:tr>
      <w:tr w:rsidR="009134AF" w:rsidRPr="009134AF" w14:paraId="4C44B338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4E1D11E7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  <w:t>Rekomendowane rozwiązanie, w tym planowane narzędzia interwencji, i oczekiwany efekt</w:t>
            </w:r>
          </w:p>
        </w:tc>
      </w:tr>
      <w:tr w:rsidR="009134AF" w:rsidRPr="009134AF" w14:paraId="1E449970" w14:textId="77777777" w:rsidTr="00547A93">
        <w:trPr>
          <w:trHeight w:val="142"/>
        </w:trPr>
        <w:tc>
          <w:tcPr>
            <w:tcW w:w="10947" w:type="dxa"/>
            <w:gridSpan w:val="29"/>
          </w:tcPr>
          <w:p w14:paraId="029C3F31" w14:textId="77777777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 związku z obecnymi ograniczeniami prawnymi projekt przewiduje zmiany dostosowawcze, których celem jest:</w:t>
            </w:r>
          </w:p>
          <w:p w14:paraId="3F30F818" w14:textId="3667E5FE" w:rsidR="009134AF" w:rsidRPr="00F553B4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1. umożliwienie przesyłania komunikatów związanych z funkcjonowaniem profilu zaufanego i konta profilu zaufanego nie tylko na adres poczty elektronicznej, o którym mowa w ust. 1 pkt 5 rozporządzenia, ale także możliwość ich udostępnienia w aplikacji mObywatel, jeżeli posiadacz konta profilu zaufanego jest jednocześnie użytkownikiem tej aplikacji</w:t>
            </w:r>
            <w:r w:rsidR="00AC6B84" w:rsidRPr="00F553B4">
              <w:rPr>
                <w:sz w:val="22"/>
                <w:szCs w:val="22"/>
              </w:rPr>
              <w:t xml:space="preserve"> i wyraził na to zgodę</w:t>
            </w: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14:paraId="0E5BA132" w14:textId="77777777" w:rsidR="005A145D" w:rsidRPr="00F553B4" w:rsidRDefault="009134AF" w:rsidP="005A145D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2. przyznanie posiadaczowi konta profilu zaufanego możliwości</w:t>
            </w:r>
            <w:r w:rsidR="005A145D" w:rsidRPr="00F553B4">
              <w:rPr>
                <w:sz w:val="22"/>
                <w:szCs w:val="22"/>
              </w:rPr>
              <w:t xml:space="preserve"> </w:t>
            </w:r>
            <w:r w:rsidR="005A145D" w:rsidRPr="00F553B4">
              <w:rPr>
                <w:sz w:val="22"/>
                <w:szCs w:val="22"/>
                <w:lang w:eastAsia="en-US"/>
              </w:rPr>
              <w:t>wyboru lub zmiany komunikatów związanych z funkcjonowaniem profilu zaufanego i konta profilu zaufanego, które chce otrzymywać oraz sposobu otrzymywania komunikatów związanych z funkcjonowaniem profilu zaufanego i konta profilu zaufanego (na adres poczty elektronicznej, w aplikacji mObywatel lub za pomocą obu tych kanałów komunikacji)</w:t>
            </w:r>
            <w:r w:rsidR="005A145D" w:rsidRPr="00F553B4">
              <w:rPr>
                <w:sz w:val="22"/>
                <w:szCs w:val="22"/>
              </w:rPr>
              <w:t>;</w:t>
            </w:r>
          </w:p>
          <w:p w14:paraId="28847962" w14:textId="4E9597AA" w:rsidR="005A145D" w:rsidRPr="00F553B4" w:rsidRDefault="009134AF" w:rsidP="005A145D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3.</w:t>
            </w:r>
            <w:r w:rsidR="005A145D" w:rsidRPr="00F553B4">
              <w:rPr>
                <w:sz w:val="22"/>
                <w:szCs w:val="22"/>
              </w:rPr>
              <w:t xml:space="preserve"> </w:t>
            </w:r>
            <w:r w:rsidR="005A145D" w:rsidRPr="00F553B4">
              <w:rPr>
                <w:sz w:val="22"/>
                <w:szCs w:val="22"/>
                <w:lang w:eastAsia="en-US"/>
              </w:rPr>
              <w:t>doprecyzowani</w:t>
            </w:r>
            <w:r w:rsidR="005A145D" w:rsidRPr="00F553B4">
              <w:rPr>
                <w:sz w:val="22"/>
                <w:szCs w:val="22"/>
              </w:rPr>
              <w:t>e</w:t>
            </w:r>
            <w:r w:rsidR="005A145D" w:rsidRPr="00F553B4">
              <w:rPr>
                <w:sz w:val="22"/>
                <w:szCs w:val="22"/>
                <w:lang w:eastAsia="en-US"/>
              </w:rPr>
              <w:t xml:space="preserve">, że uwierzytelnienie przy użyciu profilu zaufanego może następować również z wykorzystaniem profilu osobistego </w:t>
            </w:r>
            <w:r w:rsidR="005A145D" w:rsidRPr="00F553B4">
              <w:rPr>
                <w:sz w:val="22"/>
                <w:szCs w:val="22"/>
              </w:rPr>
              <w:t xml:space="preserve">oraz </w:t>
            </w:r>
            <w:r w:rsidR="005A145D" w:rsidRPr="00F553B4">
              <w:rPr>
                <w:sz w:val="22"/>
                <w:szCs w:val="22"/>
                <w:lang w:eastAsia="en-US"/>
              </w:rPr>
              <w:t>wskazan</w:t>
            </w:r>
            <w:r w:rsidR="005A145D" w:rsidRPr="00F553B4">
              <w:rPr>
                <w:sz w:val="22"/>
                <w:szCs w:val="22"/>
              </w:rPr>
              <w:t>ie</w:t>
            </w:r>
            <w:r w:rsidR="005A145D" w:rsidRPr="00F553B4">
              <w:rPr>
                <w:sz w:val="22"/>
                <w:szCs w:val="22"/>
                <w:lang w:eastAsia="en-US"/>
              </w:rPr>
              <w:t xml:space="preserve">, że z możliwości tej posiadacz profilu zaufanego nie może zrezygnować. </w:t>
            </w:r>
          </w:p>
          <w:p w14:paraId="384DDDD9" w14:textId="172CB0B9" w:rsidR="009134AF" w:rsidRPr="009134AF" w:rsidRDefault="009134AF" w:rsidP="005A145D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F553B4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Dokonanie przedmiotowych zmian możliwe jest jedynie poprzez interwencję legislacyjną i zmianę właściwych przepisów rozporządzenia.</w:t>
            </w:r>
          </w:p>
        </w:tc>
      </w:tr>
      <w:tr w:rsidR="009134AF" w:rsidRPr="009134AF" w14:paraId="669797B1" w14:textId="77777777" w:rsidTr="00547A93">
        <w:trPr>
          <w:trHeight w:val="307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48BF1BBA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Jak problem został rozwiązany w innych krajach, w szczególności krajach członkowskich OECD/UE</w:t>
            </w: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?</w:t>
            </w:r>
            <w:r w:rsidRPr="009134AF">
              <w:rPr>
                <w:rFonts w:eastAsia="Calibri" w:cs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34AF" w:rsidRPr="009134AF" w14:paraId="75F78E02" w14:textId="77777777" w:rsidTr="00547A93">
        <w:trPr>
          <w:trHeight w:val="142"/>
        </w:trPr>
        <w:tc>
          <w:tcPr>
            <w:tcW w:w="10947" w:type="dxa"/>
            <w:gridSpan w:val="29"/>
          </w:tcPr>
          <w:p w14:paraId="60A35B6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60" w:after="60" w:line="276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Nie dotyczy.</w:t>
            </w:r>
          </w:p>
        </w:tc>
      </w:tr>
      <w:tr w:rsidR="009134AF" w:rsidRPr="009134AF" w14:paraId="3BB88AB2" w14:textId="77777777" w:rsidTr="00547A93">
        <w:trPr>
          <w:trHeight w:val="359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350FD704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Podmioty, na które oddziałuje projekt</w:t>
            </w:r>
          </w:p>
        </w:tc>
      </w:tr>
      <w:tr w:rsidR="009134AF" w:rsidRPr="009134AF" w14:paraId="5E8438ED" w14:textId="77777777" w:rsidTr="00547A93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31ADAB2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Grupa</w:t>
            </w:r>
          </w:p>
        </w:tc>
        <w:tc>
          <w:tcPr>
            <w:tcW w:w="2266" w:type="dxa"/>
            <w:gridSpan w:val="7"/>
          </w:tcPr>
          <w:p w14:paraId="6E8ACA0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Wielkość</w:t>
            </w:r>
          </w:p>
        </w:tc>
        <w:tc>
          <w:tcPr>
            <w:tcW w:w="2996" w:type="dxa"/>
            <w:gridSpan w:val="11"/>
          </w:tcPr>
          <w:p w14:paraId="5D74915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60" w:after="60" w:line="276" w:lineRule="auto"/>
              <w:jc w:val="center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Źródło danych</w:t>
            </w:r>
          </w:p>
        </w:tc>
        <w:tc>
          <w:tcPr>
            <w:tcW w:w="2981" w:type="dxa"/>
            <w:gridSpan w:val="6"/>
          </w:tcPr>
          <w:p w14:paraId="5BF8453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Oddziaływanie</w:t>
            </w:r>
          </w:p>
        </w:tc>
      </w:tr>
      <w:tr w:rsidR="009134AF" w:rsidRPr="009134AF" w14:paraId="4A4E284E" w14:textId="77777777" w:rsidTr="00547A93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1188D62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Minister Cyfryzacji</w:t>
            </w:r>
          </w:p>
        </w:tc>
        <w:tc>
          <w:tcPr>
            <w:tcW w:w="2266" w:type="dxa"/>
            <w:gridSpan w:val="7"/>
          </w:tcPr>
          <w:p w14:paraId="498C924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96" w:type="dxa"/>
            <w:gridSpan w:val="11"/>
          </w:tcPr>
          <w:p w14:paraId="30D3734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Informacja powszechnie dostępna</w:t>
            </w:r>
          </w:p>
        </w:tc>
        <w:tc>
          <w:tcPr>
            <w:tcW w:w="2981" w:type="dxa"/>
            <w:gridSpan w:val="6"/>
          </w:tcPr>
          <w:p w14:paraId="3AFB007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Wprowadzenie zmian w systemie, w którym jest wydawany profil zaufany</w:t>
            </w:r>
          </w:p>
        </w:tc>
      </w:tr>
      <w:tr w:rsidR="009134AF" w:rsidRPr="009134AF" w14:paraId="5A6CDF1B" w14:textId="77777777" w:rsidTr="00547A93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336D05F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lastRenderedPageBreak/>
              <w:t>Centralny Ośrodek Informatyki</w:t>
            </w:r>
          </w:p>
        </w:tc>
        <w:tc>
          <w:tcPr>
            <w:tcW w:w="2266" w:type="dxa"/>
            <w:gridSpan w:val="7"/>
          </w:tcPr>
          <w:p w14:paraId="788A8F1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96" w:type="dxa"/>
            <w:gridSpan w:val="11"/>
          </w:tcPr>
          <w:p w14:paraId="76A09F0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60" w:after="60" w:line="276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Informacja powszechnie dostępna</w:t>
            </w:r>
          </w:p>
        </w:tc>
        <w:tc>
          <w:tcPr>
            <w:tcW w:w="2981" w:type="dxa"/>
            <w:gridSpan w:val="6"/>
          </w:tcPr>
          <w:p w14:paraId="0B01AD9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Wprowadzenie zmian w systemie, w którym jest wydawany profil zaufany</w:t>
            </w:r>
          </w:p>
        </w:tc>
      </w:tr>
      <w:tr w:rsidR="009134AF" w:rsidRPr="009134AF" w14:paraId="65767E5F" w14:textId="77777777" w:rsidTr="00547A93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1DB7EE9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Użytkownicy profilu zaufanego</w:t>
            </w:r>
          </w:p>
        </w:tc>
        <w:tc>
          <w:tcPr>
            <w:tcW w:w="2266" w:type="dxa"/>
            <w:gridSpan w:val="7"/>
          </w:tcPr>
          <w:p w14:paraId="34480FC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Ponad 13,8 mln</w:t>
            </w:r>
          </w:p>
        </w:tc>
        <w:tc>
          <w:tcPr>
            <w:tcW w:w="2996" w:type="dxa"/>
            <w:gridSpan w:val="11"/>
          </w:tcPr>
          <w:p w14:paraId="4B91729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60" w:after="60" w:line="276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Dane własne</w:t>
            </w:r>
          </w:p>
        </w:tc>
        <w:tc>
          <w:tcPr>
            <w:tcW w:w="2981" w:type="dxa"/>
            <w:gridSpan w:val="6"/>
          </w:tcPr>
          <w:p w14:paraId="25E536D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Udostępnienie użytkownikom profilu zaufanego nowych funkcjonalności</w:t>
            </w:r>
          </w:p>
        </w:tc>
      </w:tr>
      <w:tr w:rsidR="009134AF" w:rsidRPr="009134AF" w14:paraId="65839749" w14:textId="77777777" w:rsidTr="00547A93">
        <w:trPr>
          <w:gridBefore w:val="1"/>
          <w:gridAfter w:val="1"/>
          <w:wBefore w:w="29" w:type="dxa"/>
          <w:wAfter w:w="123" w:type="dxa"/>
          <w:trHeight w:val="142"/>
        </w:trPr>
        <w:tc>
          <w:tcPr>
            <w:tcW w:w="2552" w:type="dxa"/>
            <w:gridSpan w:val="3"/>
          </w:tcPr>
          <w:p w14:paraId="0DDAE44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Użytkownicy aplikacji mObywatel</w:t>
            </w:r>
          </w:p>
        </w:tc>
        <w:tc>
          <w:tcPr>
            <w:tcW w:w="2266" w:type="dxa"/>
            <w:gridSpan w:val="7"/>
          </w:tcPr>
          <w:p w14:paraId="2174ECA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Ponad 10 mln</w:t>
            </w:r>
          </w:p>
        </w:tc>
        <w:tc>
          <w:tcPr>
            <w:tcW w:w="2996" w:type="dxa"/>
            <w:gridSpan w:val="11"/>
          </w:tcPr>
          <w:p w14:paraId="1DA7D9F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Dane własne</w:t>
            </w:r>
          </w:p>
        </w:tc>
        <w:tc>
          <w:tcPr>
            <w:tcW w:w="2981" w:type="dxa"/>
            <w:gridSpan w:val="6"/>
          </w:tcPr>
          <w:p w14:paraId="4B610ED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Udostępnienie użytkownikom aplikacji mObywatel nowych funkcjonalności</w:t>
            </w:r>
          </w:p>
        </w:tc>
      </w:tr>
      <w:tr w:rsidR="009134AF" w:rsidRPr="009134AF" w14:paraId="02953D69" w14:textId="77777777" w:rsidTr="00547A93">
        <w:trPr>
          <w:trHeight w:val="30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044FC069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Informacje na temat zakresu, czasu trwania i podsumowanie wyników konsultacji</w:t>
            </w:r>
          </w:p>
        </w:tc>
      </w:tr>
      <w:tr w:rsidR="009134AF" w:rsidRPr="009134AF" w14:paraId="682A2EB6" w14:textId="77777777" w:rsidTr="00547A93">
        <w:trPr>
          <w:trHeight w:val="342"/>
        </w:trPr>
        <w:tc>
          <w:tcPr>
            <w:tcW w:w="10947" w:type="dxa"/>
            <w:gridSpan w:val="29"/>
            <w:shd w:val="clear" w:color="auto" w:fill="FFFFFF"/>
          </w:tcPr>
          <w:p w14:paraId="3261A0A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Projekt rozporządzenia zostanie udostępniony w Biuletynie Informacji Publicznej na stronie podmiotowej Rządowego Centrum Legislacji w zakładce Rządowy Proces Legislacyjny, zgodnie z § 52 ust. 1 uchwały nr 190 Rady Ministrów z dnia 29 października 2013 r. – Regulamin pracy Rady Ministrów (M.P. z 2024 r. poz. 806 oraz z 2025 r. poz. 408), oraz – stosownie do wymogów art. 5 ustawy z dnia 7 lipca 2005 r. o działalności lobbingowej w procesie stanowienia prawa (Dz. U. z 2025 r. poz. 677) – w Biuletynie Informacji Publicznej na stronie podmiotowej Ministra Cyfryzacji.</w:t>
            </w:r>
          </w:p>
          <w:p w14:paraId="665C6F9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14:paraId="03321E0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Projekt rozporządzenia zostanie skierowany w ramach konsultacji publicznych z terminem 10 dni na zgłaszanie uwag do następujących podmiotów:</w:t>
            </w:r>
          </w:p>
          <w:p w14:paraId="34B66CB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1. Fundacja Bezpieczeństwa Informacji Polska,</w:t>
            </w:r>
          </w:p>
          <w:p w14:paraId="5574E26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2. Fundacja Bezpieczna Cyberprzestrzeń,</w:t>
            </w:r>
          </w:p>
          <w:p w14:paraId="001F407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3. Fundacja </w:t>
            </w:r>
            <w:proofErr w:type="spellStart"/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ePaństwo</w:t>
            </w:r>
            <w:proofErr w:type="spellEnd"/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</w:p>
          <w:p w14:paraId="49F82EE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4. Polska Izba Informatyki i Telekomunikacji,</w:t>
            </w:r>
          </w:p>
          <w:p w14:paraId="512B42E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5. Polska Izba Komunikacji Elektronicznej,</w:t>
            </w:r>
          </w:p>
          <w:p w14:paraId="03B3A0D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6. Polskie Towarzystwo Informatyczne,</w:t>
            </w:r>
          </w:p>
          <w:p w14:paraId="1D2E460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7. Stowarzyszenie Administratorów Bezpieczeństwa Informacji,</w:t>
            </w:r>
          </w:p>
          <w:p w14:paraId="13413FE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8. Stowarzyszenie Sieć Obywatelska – </w:t>
            </w:r>
            <w:proofErr w:type="spellStart"/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Watchdog</w:t>
            </w:r>
            <w:proofErr w:type="spellEnd"/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Polska,</w:t>
            </w:r>
          </w:p>
          <w:p w14:paraId="493E489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9. Stowarzyszenie Panoptykon,</w:t>
            </w:r>
          </w:p>
          <w:p w14:paraId="75733BA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14:paraId="60C4EA2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oraz w ramach opiniowania z terminem 10 dni na zgłaszanie uwag do następujących podmiotów:</w:t>
            </w:r>
          </w:p>
          <w:p w14:paraId="7D57F50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1. Prezes Prokuratorii Generalnej Rzeczypospolitej Polskiej,</w:t>
            </w:r>
          </w:p>
          <w:p w14:paraId="3260922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2. Prezes Urzędu Ochrony Konkurencji i Konsumentów,</w:t>
            </w:r>
          </w:p>
          <w:p w14:paraId="3DD365B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3. Prezes Urzędu Ochrony Danych Osobowych,</w:t>
            </w:r>
          </w:p>
          <w:p w14:paraId="71F0FF6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4. Prezes Kasy Rolniczego Ubezpieczenia Społecznego,</w:t>
            </w:r>
          </w:p>
          <w:p w14:paraId="4582226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5. Prezes Zakładu Ubezpieczeń Społecznych,</w:t>
            </w:r>
          </w:p>
          <w:p w14:paraId="2C6E8E2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6. Prezes Narodowego Funduszu Zdrowia,</w:t>
            </w:r>
          </w:p>
          <w:p w14:paraId="284F511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14:paraId="05E7D088" w14:textId="66FFC779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a także z terminem </w:t>
            </w:r>
            <w:r w:rsidR="00250EF2">
              <w:t>30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dni na zgłaszanie uwag do następujących podmiotów:</w:t>
            </w:r>
          </w:p>
          <w:p w14:paraId="2937A2B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1. Federacja Przedsiębiorców Polskich,</w:t>
            </w:r>
          </w:p>
          <w:p w14:paraId="5669E78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2. Forum Związków Zawodowych,</w:t>
            </w:r>
          </w:p>
          <w:p w14:paraId="37E3DD7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3. Konfederacja Lewiatan,</w:t>
            </w:r>
          </w:p>
          <w:p w14:paraId="3BB4EE2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4. Niezależny Samorządny Związek Zawodowy „Solidarność”,</w:t>
            </w:r>
          </w:p>
          <w:p w14:paraId="2720738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5. Ogólnopolskie Porozumienie Związków Zawodowych,</w:t>
            </w:r>
          </w:p>
          <w:p w14:paraId="22FBFDF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6. Polskie Towarzystwo Gospodarcze,</w:t>
            </w:r>
          </w:p>
          <w:p w14:paraId="3849FDD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7. Pracodawcy Rzeczypospolitej Polskiej,</w:t>
            </w:r>
          </w:p>
          <w:p w14:paraId="099BDB2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8. Związek Pracodawców Business Centre Club,</w:t>
            </w:r>
          </w:p>
          <w:p w14:paraId="3B341E6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9. Związek Przedsiębiorców i Pracodawców,</w:t>
            </w:r>
          </w:p>
          <w:p w14:paraId="597FDD3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10. Związek Rzemiosła Polskiego.</w:t>
            </w:r>
          </w:p>
          <w:p w14:paraId="19575C5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14:paraId="477ED7D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Projekt zostanie przekazany również do Komisji Wspólnej Rządu i Samorządu Terytorialnego, Rady Działalności Pożytku Publicznego oraz Rady Dialogu Społecznego.</w:t>
            </w:r>
          </w:p>
        </w:tc>
      </w:tr>
      <w:tr w:rsidR="009134AF" w:rsidRPr="009134AF" w14:paraId="2F3609DD" w14:textId="77777777" w:rsidTr="00547A93">
        <w:trPr>
          <w:trHeight w:val="363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354EE864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Wpływ na sektor finansów publicznych</w:t>
            </w:r>
          </w:p>
        </w:tc>
      </w:tr>
      <w:tr w:rsidR="009134AF" w:rsidRPr="009134AF" w14:paraId="6D75837D" w14:textId="77777777" w:rsidTr="00547A93">
        <w:trPr>
          <w:trHeight w:val="142"/>
        </w:trPr>
        <w:tc>
          <w:tcPr>
            <w:tcW w:w="3119" w:type="dxa"/>
            <w:gridSpan w:val="5"/>
            <w:vMerge w:val="restart"/>
            <w:shd w:val="clear" w:color="auto" w:fill="FFFFFF"/>
          </w:tcPr>
          <w:p w14:paraId="47252C5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40" w:after="40" w:line="276" w:lineRule="auto"/>
              <w:rPr>
                <w:rFonts w:eastAsia="Calibri" w:cs="Times New Roman"/>
                <w:i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(ceny stałe z …… r.)</w:t>
            </w:r>
          </w:p>
        </w:tc>
        <w:tc>
          <w:tcPr>
            <w:tcW w:w="7828" w:type="dxa"/>
            <w:gridSpan w:val="24"/>
            <w:shd w:val="clear" w:color="auto" w:fill="FFFFFF"/>
          </w:tcPr>
          <w:p w14:paraId="7822E34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40" w:after="40" w:line="240" w:lineRule="auto"/>
              <w:jc w:val="center"/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Skutki w okresie 10 lat od wejścia w życie zmian [mln zł]</w:t>
            </w:r>
          </w:p>
        </w:tc>
      </w:tr>
      <w:tr w:rsidR="009134AF" w:rsidRPr="009134AF" w14:paraId="2C8BEFCB" w14:textId="77777777" w:rsidTr="00547A93">
        <w:trPr>
          <w:trHeight w:val="142"/>
        </w:trPr>
        <w:tc>
          <w:tcPr>
            <w:tcW w:w="3119" w:type="dxa"/>
            <w:gridSpan w:val="5"/>
            <w:vMerge/>
            <w:shd w:val="clear" w:color="auto" w:fill="FFFFFF"/>
          </w:tcPr>
          <w:p w14:paraId="50423FE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40" w:after="40" w:line="240" w:lineRule="auto"/>
              <w:rPr>
                <w:rFonts w:eastAsia="Calibri" w:cs="Times New Roman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gridSpan w:val="2"/>
            <w:shd w:val="clear" w:color="auto" w:fill="FFFFFF"/>
          </w:tcPr>
          <w:p w14:paraId="1899831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447CA5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8" w:type="dxa"/>
            <w:shd w:val="clear" w:color="auto" w:fill="FFFFFF"/>
          </w:tcPr>
          <w:p w14:paraId="612A97D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3A10E9D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5E73D1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8" w:type="dxa"/>
            <w:shd w:val="clear" w:color="auto" w:fill="FFFFFF"/>
          </w:tcPr>
          <w:p w14:paraId="032045E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082548A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96174A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AC4314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3A3317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8" w:type="dxa"/>
            <w:shd w:val="clear" w:color="auto" w:fill="FFFFFF"/>
          </w:tcPr>
          <w:p w14:paraId="06AE95E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72B889D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40" w:after="40" w:line="240" w:lineRule="auto"/>
              <w:jc w:val="center"/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  <w:t>Łącznie (0-10)</w:t>
            </w:r>
          </w:p>
        </w:tc>
      </w:tr>
      <w:tr w:rsidR="009134AF" w:rsidRPr="009134AF" w14:paraId="5BDD58A8" w14:textId="77777777" w:rsidTr="00547A93">
        <w:trPr>
          <w:trHeight w:val="32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0F7B02B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Dochody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D23A9E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C3AD09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7606B6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2904F34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DF5F91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206171F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555F158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BC9F0B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D23EB4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604E97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357E483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48A422F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78A49A73" w14:textId="77777777" w:rsidTr="00547A93">
        <w:trPr>
          <w:trHeight w:val="32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559F0E7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1FA67C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0E6C563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D34982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15BD188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2620A1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6291C0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0224D09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9633CD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F2129D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64E2C7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00D910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381764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424D8FD5" w14:textId="77777777" w:rsidTr="00547A93">
        <w:trPr>
          <w:trHeight w:val="344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5DC6213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4F61DE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0E6846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67260E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4CFD211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5EB43A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D8F1E6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068E533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D1B8A9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49FED3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65C193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64042B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7A4BA03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6645BE01" w14:textId="77777777" w:rsidTr="00547A93">
        <w:trPr>
          <w:trHeight w:val="344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3493A6F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F79EBC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35665F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493860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A8ABD8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796845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1460E23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3D235A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2626A2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48ED2A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6350A6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BDC8C7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6705D83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004EA8EB" w14:textId="77777777" w:rsidTr="00547A93">
        <w:trPr>
          <w:trHeight w:val="33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1C97136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ACFB3C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D319C7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334C1E6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0A363BF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DA74C9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76314EB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5CA5758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299CA8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0FB6FC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8FB7A0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28672C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5AEE3AB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0AFFD5F9" w14:textId="77777777" w:rsidTr="00547A93">
        <w:trPr>
          <w:trHeight w:val="33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4B2E23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D9D1D3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F76A8E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163ADBF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6B1687F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A6A459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39FCF3F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3829495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2EE6D7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FE9205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D8A0AA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3C7CE8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334C23A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7DFCD52D" w14:textId="77777777" w:rsidTr="00547A93">
        <w:trPr>
          <w:trHeight w:val="35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13C055F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4AE105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4B6856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92843B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78BA9D0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A26A4F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2793F4D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7224DD2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4432F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26366C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A6A933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759F9F2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07A91E5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5B8F62DB" w14:textId="77777777" w:rsidTr="00547A93">
        <w:trPr>
          <w:trHeight w:val="351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78B11B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D326DF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2B1A58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2428DFA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4F17C90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E87EB7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1F60C02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5DB820B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BCBB4B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0E0BF1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90F19A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335764F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3AC9675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607FB6F1" w14:textId="77777777" w:rsidTr="00547A93">
        <w:trPr>
          <w:trHeight w:val="36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26D0400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Saldo ogółem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E34350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3E38FD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C11B7F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2ECC6E6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3B44B2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6B4A41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3B07B66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1ECB80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15BAF2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55ADB7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9A1059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1161658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52DD427F" w14:textId="77777777" w:rsidTr="00547A93">
        <w:trPr>
          <w:trHeight w:val="360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1E9A146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budżet państwa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80E10A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EA2CBC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7671B3E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0310119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A80ACB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556FE6C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40F4D3B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6A8CD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1A8DB0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5E7A91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734E690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2220796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4EFD7ABB" w14:textId="77777777" w:rsidTr="00547A93">
        <w:trPr>
          <w:trHeight w:val="357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0D4CEE3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JST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B5A581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3F1599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D06F8C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1F81EA7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560CB5B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0A4093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7001833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5142D8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223456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E2B0E9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64DC508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7309834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25A2F459" w14:textId="77777777" w:rsidTr="00547A93">
        <w:trPr>
          <w:trHeight w:val="357"/>
        </w:trPr>
        <w:tc>
          <w:tcPr>
            <w:tcW w:w="3119" w:type="dxa"/>
            <w:gridSpan w:val="5"/>
            <w:shd w:val="clear" w:color="auto" w:fill="FFFFFF"/>
            <w:vAlign w:val="center"/>
          </w:tcPr>
          <w:p w14:paraId="6D5A263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pozostałe jednostki (oddzielnie)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6799E8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72C31C2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421CA53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5FFC0CA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37EF17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1802009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3"/>
            <w:shd w:val="clear" w:color="auto" w:fill="FFFFFF"/>
          </w:tcPr>
          <w:p w14:paraId="1FDCF6E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AF893D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D4BB6F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CB69C8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8" w:type="dxa"/>
            <w:shd w:val="clear" w:color="auto" w:fill="FFFFFF"/>
          </w:tcPr>
          <w:p w14:paraId="14A105B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1" w:type="dxa"/>
            <w:gridSpan w:val="3"/>
            <w:shd w:val="clear" w:color="auto" w:fill="FFFFFF"/>
          </w:tcPr>
          <w:p w14:paraId="00645F2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40525CF9" w14:textId="77777777" w:rsidTr="00547A93">
        <w:trPr>
          <w:trHeight w:val="348"/>
        </w:trPr>
        <w:tc>
          <w:tcPr>
            <w:tcW w:w="2233" w:type="dxa"/>
            <w:gridSpan w:val="3"/>
            <w:shd w:val="clear" w:color="auto" w:fill="FFFFFF"/>
            <w:vAlign w:val="center"/>
          </w:tcPr>
          <w:p w14:paraId="7784AF0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Źródła finansowania 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383ABC3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9134AF" w:rsidRPr="009134AF" w14:paraId="2A253766" w14:textId="77777777" w:rsidTr="00547A93">
        <w:trPr>
          <w:trHeight w:val="1408"/>
        </w:trPr>
        <w:tc>
          <w:tcPr>
            <w:tcW w:w="2233" w:type="dxa"/>
            <w:gridSpan w:val="3"/>
            <w:shd w:val="clear" w:color="auto" w:fill="FFFFFF"/>
          </w:tcPr>
          <w:p w14:paraId="32C586A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Dodatkowe informacje, w tym wskazanie źródeł danych i przyjętych do obliczeń założeń</w:t>
            </w:r>
          </w:p>
        </w:tc>
        <w:tc>
          <w:tcPr>
            <w:tcW w:w="8714" w:type="dxa"/>
            <w:gridSpan w:val="26"/>
            <w:shd w:val="clear" w:color="auto" w:fill="FFFFFF"/>
          </w:tcPr>
          <w:p w14:paraId="5ECAEE4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Zaproponowane zmiany nie generują kosztów, odzwierciedlają aktualne działanie systemu teleinformatycznego, w którym jest wydawany profil zaufany.</w:t>
            </w:r>
          </w:p>
        </w:tc>
      </w:tr>
      <w:tr w:rsidR="009134AF" w:rsidRPr="009134AF" w14:paraId="394CC2A0" w14:textId="77777777" w:rsidTr="00547A93">
        <w:trPr>
          <w:trHeight w:val="345"/>
        </w:trPr>
        <w:tc>
          <w:tcPr>
            <w:tcW w:w="10947" w:type="dxa"/>
            <w:gridSpan w:val="29"/>
            <w:shd w:val="clear" w:color="auto" w:fill="99CCFF"/>
          </w:tcPr>
          <w:p w14:paraId="70CB10B4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120" w:after="120" w:line="240" w:lineRule="auto"/>
              <w:jc w:val="both"/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Wpływ na </w:t>
            </w: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134AF" w:rsidRPr="009134AF" w14:paraId="54CD5520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50D34A1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Skutki</w:t>
            </w:r>
          </w:p>
        </w:tc>
      </w:tr>
      <w:tr w:rsidR="009134AF" w:rsidRPr="009134AF" w14:paraId="7B8C85B1" w14:textId="77777777" w:rsidTr="00547A93">
        <w:trPr>
          <w:trHeight w:val="142"/>
        </w:trPr>
        <w:tc>
          <w:tcPr>
            <w:tcW w:w="3873" w:type="dxa"/>
            <w:gridSpan w:val="8"/>
            <w:shd w:val="clear" w:color="auto" w:fill="FFFFFF"/>
          </w:tcPr>
          <w:p w14:paraId="64479C7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Czas w latach od wejścia w życie zmian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2A4B6EE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2AE9972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5" w:type="dxa"/>
            <w:gridSpan w:val="4"/>
            <w:shd w:val="clear" w:color="auto" w:fill="FFFFFF"/>
          </w:tcPr>
          <w:p w14:paraId="5E58EF8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8" w:type="dxa"/>
            <w:gridSpan w:val="3"/>
            <w:shd w:val="clear" w:color="auto" w:fill="FFFFFF"/>
          </w:tcPr>
          <w:p w14:paraId="14EA4D5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7BA5ABA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4" w:type="dxa"/>
            <w:gridSpan w:val="3"/>
            <w:shd w:val="clear" w:color="auto" w:fill="FFFFFF"/>
          </w:tcPr>
          <w:p w14:paraId="1DB7874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6" w:type="dxa"/>
            <w:gridSpan w:val="2"/>
            <w:shd w:val="clear" w:color="auto" w:fill="FFFFFF"/>
          </w:tcPr>
          <w:p w14:paraId="24CD85A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  <w:t>Łącznie</w:t>
            </w:r>
            <w:r w:rsidRPr="009134AF" w:rsidDel="0073273A"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i/>
                <w:color w:val="000000"/>
                <w:spacing w:val="-2"/>
                <w:sz w:val="22"/>
                <w:szCs w:val="22"/>
                <w:lang w:eastAsia="en-US"/>
              </w:rPr>
              <w:t>(0-10)</w:t>
            </w:r>
          </w:p>
        </w:tc>
      </w:tr>
      <w:tr w:rsidR="009134AF" w:rsidRPr="009134AF" w14:paraId="016135A3" w14:textId="77777777" w:rsidTr="00547A93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58F1E27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76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W ujęciu pieniężnym</w:t>
            </w:r>
          </w:p>
          <w:p w14:paraId="5288EEB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76" w:lineRule="auto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(w mln zł, </w:t>
            </w:r>
          </w:p>
          <w:p w14:paraId="6A3B421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ceny stałe z …… r.)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7E62609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duże przedsiębiorstwa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1F214A1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5B24334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4"/>
            <w:shd w:val="clear" w:color="auto" w:fill="FFFFFF"/>
          </w:tcPr>
          <w:p w14:paraId="16D07D0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8" w:type="dxa"/>
            <w:gridSpan w:val="3"/>
            <w:shd w:val="clear" w:color="auto" w:fill="FFFFFF"/>
          </w:tcPr>
          <w:p w14:paraId="5759DCB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2D74805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gridSpan w:val="3"/>
            <w:shd w:val="clear" w:color="auto" w:fill="FFFFFF"/>
          </w:tcPr>
          <w:p w14:paraId="696D589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6" w:type="dxa"/>
            <w:gridSpan w:val="2"/>
            <w:shd w:val="clear" w:color="auto" w:fill="FFFFFF"/>
          </w:tcPr>
          <w:p w14:paraId="22ED36E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04BC0112" w14:textId="77777777" w:rsidTr="00547A93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0953544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5CD50C1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sektor mikro-, małych i średnich przedsiębiorstw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743EEEE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2D6093E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4"/>
            <w:shd w:val="clear" w:color="auto" w:fill="FFFFFF"/>
          </w:tcPr>
          <w:p w14:paraId="6D15BE6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8" w:type="dxa"/>
            <w:gridSpan w:val="3"/>
            <w:shd w:val="clear" w:color="auto" w:fill="FFFFFF"/>
          </w:tcPr>
          <w:p w14:paraId="76377BC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4995021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gridSpan w:val="3"/>
            <w:shd w:val="clear" w:color="auto" w:fill="FFFFFF"/>
          </w:tcPr>
          <w:p w14:paraId="747D58F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6" w:type="dxa"/>
            <w:gridSpan w:val="2"/>
            <w:shd w:val="clear" w:color="auto" w:fill="FFFFFF"/>
          </w:tcPr>
          <w:p w14:paraId="07CAA8D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76C4E5CA" w14:textId="77777777" w:rsidTr="00547A93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3B81D58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7EE9422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sz w:val="22"/>
                <w:szCs w:val="22"/>
                <w:lang w:eastAsia="en-US"/>
              </w:rPr>
              <w:t>rodzina, obywatele oraz gospodarstwa domowe</w:t>
            </w:r>
          </w:p>
        </w:tc>
        <w:tc>
          <w:tcPr>
            <w:tcW w:w="950" w:type="dxa"/>
            <w:gridSpan w:val="2"/>
            <w:shd w:val="clear" w:color="auto" w:fill="FFFFFF"/>
          </w:tcPr>
          <w:p w14:paraId="559CCA0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6" w:type="dxa"/>
            <w:gridSpan w:val="4"/>
            <w:shd w:val="clear" w:color="auto" w:fill="FFFFFF"/>
          </w:tcPr>
          <w:p w14:paraId="7AFE8CC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4"/>
            <w:shd w:val="clear" w:color="auto" w:fill="FFFFFF"/>
          </w:tcPr>
          <w:p w14:paraId="126AED1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8" w:type="dxa"/>
            <w:gridSpan w:val="3"/>
            <w:shd w:val="clear" w:color="auto" w:fill="FFFFFF"/>
          </w:tcPr>
          <w:p w14:paraId="2B16FDC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2C11798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4" w:type="dxa"/>
            <w:gridSpan w:val="3"/>
            <w:shd w:val="clear" w:color="auto" w:fill="FFFFFF"/>
          </w:tcPr>
          <w:p w14:paraId="3570148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6" w:type="dxa"/>
            <w:gridSpan w:val="2"/>
            <w:shd w:val="clear" w:color="auto" w:fill="FFFFFF"/>
          </w:tcPr>
          <w:p w14:paraId="27D0226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9134AF" w:rsidRPr="009134AF" w14:paraId="4847E8E7" w14:textId="77777777" w:rsidTr="00547A93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7AB079C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W ujęciu niepieniężnym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5F3DC4C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duże przedsiębiorstwa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5FB1EFC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120"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Brak wpływu</w:t>
            </w:r>
          </w:p>
        </w:tc>
      </w:tr>
      <w:tr w:rsidR="009134AF" w:rsidRPr="009134AF" w14:paraId="0A3400B3" w14:textId="77777777" w:rsidTr="00547A93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09BEB05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737F21C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sektor mikro-, małych i średnich przedsiębiorstw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6F4020B7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before="120"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Brak wpływu</w:t>
            </w:r>
          </w:p>
        </w:tc>
      </w:tr>
      <w:tr w:rsidR="009134AF" w:rsidRPr="009134AF" w14:paraId="1A12C7BC" w14:textId="77777777" w:rsidTr="00547A93">
        <w:trPr>
          <w:trHeight w:val="596"/>
        </w:trPr>
        <w:tc>
          <w:tcPr>
            <w:tcW w:w="1589" w:type="dxa"/>
            <w:gridSpan w:val="2"/>
            <w:vMerge/>
            <w:shd w:val="clear" w:color="auto" w:fill="FFFFFF"/>
          </w:tcPr>
          <w:p w14:paraId="080B7C0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3BA166A4" w14:textId="77777777" w:rsidR="009134AF" w:rsidRPr="009134AF" w:rsidRDefault="009134AF" w:rsidP="009134AF">
            <w:pPr>
              <w:widowControl/>
              <w:tabs>
                <w:tab w:val="right" w:pos="1936"/>
              </w:tabs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sz w:val="22"/>
                <w:szCs w:val="22"/>
                <w:lang w:eastAsia="en-US"/>
              </w:rPr>
              <w:t>rodzina, obywatele oraz gospodarstwa domowe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39EB7C7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Brak wpływu</w:t>
            </w:r>
          </w:p>
        </w:tc>
      </w:tr>
      <w:tr w:rsidR="009134AF" w:rsidRPr="009134AF" w14:paraId="6E5173C0" w14:textId="77777777" w:rsidTr="00547A93">
        <w:trPr>
          <w:trHeight w:val="240"/>
        </w:trPr>
        <w:tc>
          <w:tcPr>
            <w:tcW w:w="1589" w:type="dxa"/>
            <w:gridSpan w:val="2"/>
            <w:vMerge/>
            <w:shd w:val="clear" w:color="auto" w:fill="FFFFFF"/>
          </w:tcPr>
          <w:p w14:paraId="5D853D5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5B8F9F87" w14:textId="77777777" w:rsidR="009134AF" w:rsidRPr="009134AF" w:rsidRDefault="009134AF" w:rsidP="009134AF">
            <w:pPr>
              <w:widowControl/>
              <w:tabs>
                <w:tab w:val="right" w:pos="1936"/>
              </w:tabs>
              <w:autoSpaceDE/>
              <w:autoSpaceDN/>
              <w:adjustRightInd/>
              <w:spacing w:line="276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(dodaj/usuń)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2FE7E538" w14:textId="77777777" w:rsidR="009134AF" w:rsidRPr="009134AF" w:rsidRDefault="009134AF" w:rsidP="009134AF">
            <w:pPr>
              <w:widowControl/>
              <w:tabs>
                <w:tab w:val="left" w:pos="3000"/>
              </w:tabs>
              <w:autoSpaceDE/>
              <w:autoSpaceDN/>
              <w:adjustRightInd/>
              <w:spacing w:line="276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9134AF" w:rsidRPr="009134AF" w14:paraId="5C85B878" w14:textId="77777777" w:rsidTr="00547A93">
        <w:trPr>
          <w:trHeight w:val="142"/>
        </w:trPr>
        <w:tc>
          <w:tcPr>
            <w:tcW w:w="1589" w:type="dxa"/>
            <w:gridSpan w:val="2"/>
            <w:vMerge w:val="restart"/>
            <w:shd w:val="clear" w:color="auto" w:fill="FFFFFF"/>
          </w:tcPr>
          <w:p w14:paraId="45D287D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Niemierzalne</w:t>
            </w:r>
          </w:p>
        </w:tc>
        <w:tc>
          <w:tcPr>
            <w:tcW w:w="2284" w:type="dxa"/>
            <w:gridSpan w:val="6"/>
            <w:shd w:val="clear" w:color="auto" w:fill="FFFFFF"/>
          </w:tcPr>
          <w:p w14:paraId="38B2C72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(dodaj/usuń)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3D901BC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9134AF" w:rsidRPr="009134AF" w14:paraId="269FDACF" w14:textId="77777777" w:rsidTr="00547A93">
        <w:trPr>
          <w:trHeight w:val="142"/>
        </w:trPr>
        <w:tc>
          <w:tcPr>
            <w:tcW w:w="1589" w:type="dxa"/>
            <w:gridSpan w:val="2"/>
            <w:vMerge/>
            <w:shd w:val="clear" w:color="auto" w:fill="FFFFFF"/>
          </w:tcPr>
          <w:p w14:paraId="1102A904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gridSpan w:val="6"/>
            <w:shd w:val="clear" w:color="auto" w:fill="FFFFFF"/>
          </w:tcPr>
          <w:p w14:paraId="2E1AB4A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(dodaj/usuń)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74" w:type="dxa"/>
            <w:gridSpan w:val="21"/>
            <w:shd w:val="clear" w:color="auto" w:fill="FFFFFF"/>
          </w:tcPr>
          <w:p w14:paraId="5190447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9134AF" w:rsidRPr="009134AF" w14:paraId="32E2DEF9" w14:textId="77777777" w:rsidTr="00547A93">
        <w:trPr>
          <w:trHeight w:val="1643"/>
        </w:trPr>
        <w:tc>
          <w:tcPr>
            <w:tcW w:w="2233" w:type="dxa"/>
            <w:gridSpan w:val="3"/>
            <w:shd w:val="clear" w:color="auto" w:fill="FFFFFF"/>
          </w:tcPr>
          <w:p w14:paraId="5D99EC8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75149D4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Wejście w życie rozporządzenia nie będzie miało wpływu na konkurencyjność gospodarki i przedsiębiorczość, w tym funkcjonowanie przedsiębiorców, oraz na sytuację ekonomiczną i społeczną rodziny, a także osób niepełnosprawnych oraz osób starszych.</w:t>
            </w:r>
          </w:p>
        </w:tc>
      </w:tr>
      <w:tr w:rsidR="009134AF" w:rsidRPr="009134AF" w14:paraId="024348E8" w14:textId="77777777" w:rsidTr="00547A93">
        <w:trPr>
          <w:trHeight w:val="342"/>
        </w:trPr>
        <w:tc>
          <w:tcPr>
            <w:tcW w:w="10947" w:type="dxa"/>
            <w:gridSpan w:val="29"/>
            <w:shd w:val="clear" w:color="auto" w:fill="99CCFF"/>
            <w:vAlign w:val="center"/>
          </w:tcPr>
          <w:p w14:paraId="4490CE33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Zmiana obciążeń regulacyjnych (w tym obowiązków informacyjnych) wynikających z projektu</w:t>
            </w:r>
          </w:p>
        </w:tc>
      </w:tr>
      <w:tr w:rsidR="009134AF" w:rsidRPr="009134AF" w14:paraId="3207E769" w14:textId="77777777" w:rsidTr="00547A93">
        <w:trPr>
          <w:trHeight w:val="151"/>
        </w:trPr>
        <w:tc>
          <w:tcPr>
            <w:tcW w:w="10947" w:type="dxa"/>
            <w:gridSpan w:val="29"/>
            <w:shd w:val="clear" w:color="auto" w:fill="FFFFFF"/>
          </w:tcPr>
          <w:p w14:paraId="6A509F9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nie dotyczy</w:t>
            </w:r>
          </w:p>
        </w:tc>
      </w:tr>
      <w:tr w:rsidR="009134AF" w:rsidRPr="009134AF" w14:paraId="1249720F" w14:textId="77777777" w:rsidTr="00547A93">
        <w:trPr>
          <w:trHeight w:val="946"/>
        </w:trPr>
        <w:tc>
          <w:tcPr>
            <w:tcW w:w="5092" w:type="dxa"/>
            <w:gridSpan w:val="12"/>
            <w:shd w:val="clear" w:color="auto" w:fill="FFFFFF"/>
          </w:tcPr>
          <w:p w14:paraId="7445796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76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Wprowadzane są obciążenia poza bezwzględnie wymaganymi przez UE 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(szczegóły w odwróconej tabeli zgodności).</w:t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284FC24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tak</w:t>
            </w:r>
          </w:p>
          <w:p w14:paraId="16DD17D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nie</w:t>
            </w:r>
          </w:p>
          <w:p w14:paraId="3AE8DBE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76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nie dotyczy</w:t>
            </w:r>
          </w:p>
        </w:tc>
      </w:tr>
      <w:tr w:rsidR="009134AF" w:rsidRPr="009134AF" w14:paraId="21B83A99" w14:textId="77777777" w:rsidTr="00547A93">
        <w:trPr>
          <w:trHeight w:val="1245"/>
        </w:trPr>
        <w:tc>
          <w:tcPr>
            <w:tcW w:w="5092" w:type="dxa"/>
            <w:gridSpan w:val="12"/>
            <w:shd w:val="clear" w:color="auto" w:fill="FFFFFF"/>
          </w:tcPr>
          <w:p w14:paraId="26A958F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zmniejszenie liczby dokumentów </w:t>
            </w:r>
          </w:p>
          <w:p w14:paraId="49C668A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zmniejszenie liczby procedur</w:t>
            </w:r>
          </w:p>
          <w:p w14:paraId="5BA88FC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skrócenie czasu na załatwienie sprawy</w:t>
            </w:r>
          </w:p>
          <w:p w14:paraId="6C9F997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76" w:lineRule="auto"/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inne: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41CFF0A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zwiększenie liczby dokumentów</w:t>
            </w:r>
          </w:p>
          <w:p w14:paraId="614F2E86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zwiększenie liczby procedur</w:t>
            </w:r>
          </w:p>
          <w:p w14:paraId="35B8A2F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wydłużenie czasu na załatwienie sprawy</w:t>
            </w:r>
          </w:p>
          <w:p w14:paraId="074FF6B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inne: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134AF" w:rsidRPr="009134AF" w14:paraId="241187EF" w14:textId="77777777" w:rsidTr="00547A93">
        <w:trPr>
          <w:trHeight w:val="870"/>
        </w:trPr>
        <w:tc>
          <w:tcPr>
            <w:tcW w:w="5092" w:type="dxa"/>
            <w:gridSpan w:val="12"/>
            <w:shd w:val="clear" w:color="auto" w:fill="FFFFFF"/>
          </w:tcPr>
          <w:p w14:paraId="33ACC5F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Wprowadzane obciążenia są przystosowane do ich elektronizacji. </w:t>
            </w:r>
          </w:p>
        </w:tc>
        <w:tc>
          <w:tcPr>
            <w:tcW w:w="5855" w:type="dxa"/>
            <w:gridSpan w:val="17"/>
            <w:shd w:val="clear" w:color="auto" w:fill="FFFFFF"/>
          </w:tcPr>
          <w:p w14:paraId="0632778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tak</w:t>
            </w:r>
          </w:p>
          <w:p w14:paraId="59207319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nie</w:t>
            </w:r>
          </w:p>
          <w:p w14:paraId="4CEC65F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nie dotyczy</w:t>
            </w:r>
          </w:p>
        </w:tc>
      </w:tr>
      <w:tr w:rsidR="009134AF" w:rsidRPr="009134AF" w14:paraId="344AB742" w14:textId="77777777" w:rsidTr="00547A93">
        <w:trPr>
          <w:trHeight w:val="630"/>
        </w:trPr>
        <w:tc>
          <w:tcPr>
            <w:tcW w:w="10947" w:type="dxa"/>
            <w:gridSpan w:val="29"/>
            <w:shd w:val="clear" w:color="auto" w:fill="FFFFFF"/>
          </w:tcPr>
          <w:p w14:paraId="4F989A50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Komentarz: </w:t>
            </w:r>
          </w:p>
          <w:p w14:paraId="2C64DBA3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9134AF" w:rsidRPr="009134AF" w14:paraId="1404F2CE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31653DE9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Wpływ na rynek pracy </w:t>
            </w:r>
          </w:p>
        </w:tc>
      </w:tr>
      <w:tr w:rsidR="009134AF" w:rsidRPr="009134AF" w14:paraId="6212ED78" w14:textId="77777777" w:rsidTr="00547A93">
        <w:trPr>
          <w:trHeight w:val="142"/>
        </w:trPr>
        <w:tc>
          <w:tcPr>
            <w:tcW w:w="10947" w:type="dxa"/>
            <w:gridSpan w:val="29"/>
          </w:tcPr>
          <w:p w14:paraId="1CE3968A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Brak wpływu </w:t>
            </w:r>
          </w:p>
        </w:tc>
      </w:tr>
      <w:tr w:rsidR="009134AF" w:rsidRPr="009134AF" w14:paraId="5802D021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0B2CFD6C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>Wpływ na pozostałe obszary</w:t>
            </w:r>
          </w:p>
        </w:tc>
      </w:tr>
      <w:tr w:rsidR="009134AF" w:rsidRPr="009134AF" w14:paraId="0B755B63" w14:textId="77777777" w:rsidTr="00547A93">
        <w:trPr>
          <w:trHeight w:val="1031"/>
        </w:trPr>
        <w:tc>
          <w:tcPr>
            <w:tcW w:w="3532" w:type="dxa"/>
            <w:gridSpan w:val="6"/>
            <w:shd w:val="clear" w:color="auto" w:fill="FFFFFF"/>
          </w:tcPr>
          <w:p w14:paraId="7EF76F2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  <w:p w14:paraId="7570445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środowisko naturalne</w:t>
            </w:r>
          </w:p>
          <w:p w14:paraId="6EF9E21E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sytuacja i rozwój regionalny</w:t>
            </w:r>
          </w:p>
          <w:p w14:paraId="03647B2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sądy powszechne, administracyjne lub wojskowe</w:t>
            </w:r>
          </w:p>
        </w:tc>
        <w:tc>
          <w:tcPr>
            <w:tcW w:w="3676" w:type="dxa"/>
            <w:gridSpan w:val="14"/>
            <w:shd w:val="clear" w:color="auto" w:fill="FFFFFF"/>
          </w:tcPr>
          <w:p w14:paraId="40D47FEC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  <w:p w14:paraId="333C5FE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demografia</w:t>
            </w:r>
          </w:p>
          <w:p w14:paraId="2E37A1E5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mienie państwowe</w:t>
            </w:r>
          </w:p>
          <w:p w14:paraId="274A8F8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inne: 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39" w:type="dxa"/>
            <w:gridSpan w:val="9"/>
            <w:shd w:val="clear" w:color="auto" w:fill="FFFFFF"/>
          </w:tcPr>
          <w:p w14:paraId="727116DD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  <w:p w14:paraId="778720E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informatyzacja</w:t>
            </w:r>
          </w:p>
          <w:p w14:paraId="1606519B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zdrowie</w:t>
            </w:r>
          </w:p>
        </w:tc>
      </w:tr>
      <w:tr w:rsidR="009134AF" w:rsidRPr="009134AF" w14:paraId="18728B27" w14:textId="77777777" w:rsidTr="00547A93">
        <w:trPr>
          <w:trHeight w:val="712"/>
        </w:trPr>
        <w:tc>
          <w:tcPr>
            <w:tcW w:w="2233" w:type="dxa"/>
            <w:gridSpan w:val="3"/>
            <w:shd w:val="clear" w:color="auto" w:fill="FFFFFF"/>
            <w:vAlign w:val="center"/>
          </w:tcPr>
          <w:p w14:paraId="303FA1A8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line="240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Omówienie wpływu</w:t>
            </w:r>
          </w:p>
        </w:tc>
        <w:tc>
          <w:tcPr>
            <w:tcW w:w="8714" w:type="dxa"/>
            <w:gridSpan w:val="26"/>
            <w:shd w:val="clear" w:color="auto" w:fill="FFFFFF"/>
            <w:vAlign w:val="center"/>
          </w:tcPr>
          <w:p w14:paraId="142988D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Nastąpi zmiana wymogów dotyczących systemu teleinformatycznego, w którym jest wydawany profil zaufany. Jest on jednym ze środków identyfikacji elektronicznej, wykorzystywanych przez podmioty publiczne do weryfikacji tożsamości użytkowników swoich systemów teleinformatycznych (za pomocą których realizują one zadania publiczne).</w:t>
            </w:r>
          </w:p>
        </w:tc>
      </w:tr>
      <w:tr w:rsidR="009134AF" w:rsidRPr="009134AF" w14:paraId="287CB457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7D5106BE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Planowane wykonanie przepisów aktu prawnego</w:t>
            </w:r>
          </w:p>
        </w:tc>
      </w:tr>
      <w:tr w:rsidR="009134AF" w:rsidRPr="009134AF" w14:paraId="6F97CE05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531F3742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Rozporządzenie wejdzie w życie z dniem 12 stycznia 2026 r.</w:t>
            </w:r>
          </w:p>
        </w:tc>
      </w:tr>
      <w:tr w:rsidR="009134AF" w:rsidRPr="009134AF" w14:paraId="582D051A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2DC77700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4AF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W jaki sposób i kiedy nastąpi ewaluacja efektów projektu oraz jakie mierniki zostaną zastosowane?</w:t>
            </w:r>
          </w:p>
        </w:tc>
      </w:tr>
      <w:tr w:rsidR="009134AF" w:rsidRPr="009134AF" w14:paraId="2342C7A5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5229A8EF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>Nie dotyczy.</w:t>
            </w:r>
          </w:p>
        </w:tc>
      </w:tr>
      <w:tr w:rsidR="009134AF" w:rsidRPr="009134AF" w14:paraId="7EF427BC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99CCFF"/>
          </w:tcPr>
          <w:p w14:paraId="53F1D138" w14:textId="77777777" w:rsidR="009134AF" w:rsidRPr="009134AF" w:rsidRDefault="009134AF" w:rsidP="009134AF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Załączniki </w:t>
            </w:r>
            <w:r w:rsidRPr="009134AF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(istotne dokumenty źródłowe, badania, analizy itp.</w:t>
            </w:r>
            <w:r w:rsidRPr="009134AF">
              <w:rPr>
                <w:rFonts w:eastAsia="Calibri" w:cs="Times New Roman"/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134AF" w:rsidRPr="009134AF" w14:paraId="19D620CF" w14:textId="77777777" w:rsidTr="00547A93">
        <w:trPr>
          <w:trHeight w:val="142"/>
        </w:trPr>
        <w:tc>
          <w:tcPr>
            <w:tcW w:w="10947" w:type="dxa"/>
            <w:gridSpan w:val="29"/>
            <w:shd w:val="clear" w:color="auto" w:fill="FFFFFF"/>
          </w:tcPr>
          <w:p w14:paraId="77A541B1" w14:textId="77777777" w:rsidR="009134AF" w:rsidRPr="009134AF" w:rsidRDefault="009134AF" w:rsidP="009134AF">
            <w:pPr>
              <w:widowControl/>
              <w:autoSpaceDE/>
              <w:autoSpaceDN/>
              <w:adjustRightInd/>
              <w:spacing w:after="120" w:line="240" w:lineRule="auto"/>
              <w:jc w:val="both"/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9134AF">
              <w:rPr>
                <w:rFonts w:eastAsia="Calibri" w:cs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Brak </w:t>
            </w:r>
          </w:p>
        </w:tc>
      </w:tr>
    </w:tbl>
    <w:p w14:paraId="4E8A44A3" w14:textId="77777777" w:rsidR="00261A16" w:rsidRPr="00737F6A" w:rsidRDefault="00261A16" w:rsidP="00737F6A"/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9D32" w14:textId="77777777" w:rsidR="009F0FA2" w:rsidRDefault="009F0FA2">
      <w:r>
        <w:separator/>
      </w:r>
    </w:p>
  </w:endnote>
  <w:endnote w:type="continuationSeparator" w:id="0">
    <w:p w14:paraId="21516B02" w14:textId="77777777" w:rsidR="009F0FA2" w:rsidRDefault="009F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A150" w14:textId="77777777" w:rsidR="009F0FA2" w:rsidRDefault="009F0FA2">
      <w:r>
        <w:separator/>
      </w:r>
    </w:p>
  </w:footnote>
  <w:footnote w:type="continuationSeparator" w:id="0">
    <w:p w14:paraId="59C28C73" w14:textId="77777777" w:rsidR="009F0FA2" w:rsidRDefault="009F0FA2">
      <w:r>
        <w:continuationSeparator/>
      </w:r>
    </w:p>
  </w:footnote>
  <w:footnote w:id="1">
    <w:p w14:paraId="2E80EBD9" w14:textId="77777777" w:rsidR="009134AF" w:rsidRPr="004B198A" w:rsidRDefault="009134AF" w:rsidP="009134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B198A">
        <w:t>Minister Cyfryzacji kieruje działem administracji rządowej – informatyzacja, na podstawie § 1 ust. 2 rozporządzenia Prezesa Rady Ministrów z dnia 18 grudnia 2023 r. w sprawie szczegółowego zakresu działania Ministra Cyfryzacji (Dz. U. poz. 2720).</w:t>
      </w:r>
    </w:p>
  </w:footnote>
  <w:footnote w:id="2">
    <w:p w14:paraId="7064B71C" w14:textId="08112354" w:rsidR="00AB1A07" w:rsidRDefault="00AB1A07" w:rsidP="0067226C">
      <w:pPr>
        <w:pStyle w:val="ODNONIKtreodnonika"/>
      </w:pPr>
      <w:r>
        <w:rPr>
          <w:rStyle w:val="Odwoanieprzypisudolnego"/>
        </w:rPr>
        <w:footnoteRef/>
      </w:r>
      <w:r w:rsidRPr="00D81A8F">
        <w:rPr>
          <w:rStyle w:val="IGindeksgrny"/>
        </w:rPr>
        <w:t>)</w:t>
      </w:r>
      <w:r>
        <w:tab/>
        <w:t>Zmiany tekstu jednolitego ustawy zostały ogłoszone w: Dz. U. z 2024 r. poz.</w:t>
      </w:r>
      <w:r w:rsidRPr="00AB1A07">
        <w:t xml:space="preserve"> 1717 oraz z 2025 r. poz. 1006, 1019, 1158</w:t>
      </w:r>
      <w:r>
        <w:t xml:space="preserve"> i</w:t>
      </w:r>
      <w:r w:rsidRPr="00AB1A07">
        <w:t xml:space="preserve"> 1301</w:t>
      </w:r>
      <w:r w:rsidR="00BA736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E2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3072387">
    <w:abstractNumId w:val="23"/>
  </w:num>
  <w:num w:numId="2" w16cid:durableId="2050714376">
    <w:abstractNumId w:val="23"/>
  </w:num>
  <w:num w:numId="3" w16cid:durableId="29501564">
    <w:abstractNumId w:val="18"/>
  </w:num>
  <w:num w:numId="4" w16cid:durableId="1598102009">
    <w:abstractNumId w:val="18"/>
  </w:num>
  <w:num w:numId="5" w16cid:durableId="145249829">
    <w:abstractNumId w:val="36"/>
  </w:num>
  <w:num w:numId="6" w16cid:durableId="45834091">
    <w:abstractNumId w:val="32"/>
  </w:num>
  <w:num w:numId="7" w16cid:durableId="1964534847">
    <w:abstractNumId w:val="36"/>
  </w:num>
  <w:num w:numId="8" w16cid:durableId="675496218">
    <w:abstractNumId w:val="32"/>
  </w:num>
  <w:num w:numId="9" w16cid:durableId="63527443">
    <w:abstractNumId w:val="36"/>
  </w:num>
  <w:num w:numId="10" w16cid:durableId="1882129598">
    <w:abstractNumId w:val="32"/>
  </w:num>
  <w:num w:numId="11" w16cid:durableId="1561553170">
    <w:abstractNumId w:val="14"/>
  </w:num>
  <w:num w:numId="12" w16cid:durableId="1333995122">
    <w:abstractNumId w:val="10"/>
  </w:num>
  <w:num w:numId="13" w16cid:durableId="892011149">
    <w:abstractNumId w:val="15"/>
  </w:num>
  <w:num w:numId="14" w16cid:durableId="1019232058">
    <w:abstractNumId w:val="27"/>
  </w:num>
  <w:num w:numId="15" w16cid:durableId="250511092">
    <w:abstractNumId w:val="14"/>
  </w:num>
  <w:num w:numId="16" w16cid:durableId="292636018">
    <w:abstractNumId w:val="16"/>
  </w:num>
  <w:num w:numId="17" w16cid:durableId="148911339">
    <w:abstractNumId w:val="8"/>
  </w:num>
  <w:num w:numId="18" w16cid:durableId="1327129768">
    <w:abstractNumId w:val="3"/>
  </w:num>
  <w:num w:numId="19" w16cid:durableId="1359962259">
    <w:abstractNumId w:val="2"/>
  </w:num>
  <w:num w:numId="20" w16cid:durableId="1045912028">
    <w:abstractNumId w:val="1"/>
  </w:num>
  <w:num w:numId="21" w16cid:durableId="459957069">
    <w:abstractNumId w:val="0"/>
  </w:num>
  <w:num w:numId="22" w16cid:durableId="693264263">
    <w:abstractNumId w:val="9"/>
  </w:num>
  <w:num w:numId="23" w16cid:durableId="619461844">
    <w:abstractNumId w:val="7"/>
  </w:num>
  <w:num w:numId="24" w16cid:durableId="1320647940">
    <w:abstractNumId w:val="6"/>
  </w:num>
  <w:num w:numId="25" w16cid:durableId="1465584889">
    <w:abstractNumId w:val="5"/>
  </w:num>
  <w:num w:numId="26" w16cid:durableId="138695590">
    <w:abstractNumId w:val="4"/>
  </w:num>
  <w:num w:numId="27" w16cid:durableId="357198450">
    <w:abstractNumId w:val="34"/>
  </w:num>
  <w:num w:numId="28" w16cid:durableId="710685766">
    <w:abstractNumId w:val="26"/>
  </w:num>
  <w:num w:numId="29" w16cid:durableId="803891086">
    <w:abstractNumId w:val="37"/>
  </w:num>
  <w:num w:numId="30" w16cid:durableId="371806129">
    <w:abstractNumId w:val="33"/>
  </w:num>
  <w:num w:numId="31" w16cid:durableId="1031690632">
    <w:abstractNumId w:val="19"/>
  </w:num>
  <w:num w:numId="32" w16cid:durableId="740104718">
    <w:abstractNumId w:val="11"/>
  </w:num>
  <w:num w:numId="33" w16cid:durableId="59133932">
    <w:abstractNumId w:val="31"/>
  </w:num>
  <w:num w:numId="34" w16cid:durableId="141318458">
    <w:abstractNumId w:val="20"/>
  </w:num>
  <w:num w:numId="35" w16cid:durableId="1189415757">
    <w:abstractNumId w:val="17"/>
  </w:num>
  <w:num w:numId="36" w16cid:durableId="1478111289">
    <w:abstractNumId w:val="22"/>
  </w:num>
  <w:num w:numId="37" w16cid:durableId="825240150">
    <w:abstractNumId w:val="28"/>
  </w:num>
  <w:num w:numId="38" w16cid:durableId="816189290">
    <w:abstractNumId w:val="25"/>
  </w:num>
  <w:num w:numId="39" w16cid:durableId="1294601348">
    <w:abstractNumId w:val="13"/>
  </w:num>
  <w:num w:numId="40" w16cid:durableId="752360505">
    <w:abstractNumId w:val="30"/>
  </w:num>
  <w:num w:numId="41" w16cid:durableId="271204661">
    <w:abstractNumId w:val="29"/>
  </w:num>
  <w:num w:numId="42" w16cid:durableId="1594899958">
    <w:abstractNumId w:val="21"/>
  </w:num>
  <w:num w:numId="43" w16cid:durableId="425149586">
    <w:abstractNumId w:val="35"/>
  </w:num>
  <w:num w:numId="44" w16cid:durableId="1245408799">
    <w:abstractNumId w:val="12"/>
  </w:num>
  <w:num w:numId="45" w16cid:durableId="5395903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A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CC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ACE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FA3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23E"/>
    <w:rsid w:val="000B5B2D"/>
    <w:rsid w:val="000B5DCE"/>
    <w:rsid w:val="000C05BA"/>
    <w:rsid w:val="000C0E8F"/>
    <w:rsid w:val="000C4BC4"/>
    <w:rsid w:val="000C75CD"/>
    <w:rsid w:val="000D0110"/>
    <w:rsid w:val="000D0F8C"/>
    <w:rsid w:val="000D2468"/>
    <w:rsid w:val="000D318A"/>
    <w:rsid w:val="000D320D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0CC3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DEC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63A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9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CA6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EF2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0D13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0FA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5D6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5526"/>
    <w:rsid w:val="004F695F"/>
    <w:rsid w:val="004F6CA4"/>
    <w:rsid w:val="00500752"/>
    <w:rsid w:val="00501A50"/>
    <w:rsid w:val="0050222D"/>
    <w:rsid w:val="00503855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376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45D"/>
    <w:rsid w:val="005A669D"/>
    <w:rsid w:val="005A75D8"/>
    <w:rsid w:val="005B713E"/>
    <w:rsid w:val="005C0195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26C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415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61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53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F9C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F97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10C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F5C"/>
    <w:rsid w:val="008F612A"/>
    <w:rsid w:val="0090293D"/>
    <w:rsid w:val="009034DE"/>
    <w:rsid w:val="00905396"/>
    <w:rsid w:val="0090605D"/>
    <w:rsid w:val="00906419"/>
    <w:rsid w:val="00907B3F"/>
    <w:rsid w:val="00910B63"/>
    <w:rsid w:val="00912889"/>
    <w:rsid w:val="009134AF"/>
    <w:rsid w:val="00913A42"/>
    <w:rsid w:val="00914167"/>
    <w:rsid w:val="009143DB"/>
    <w:rsid w:val="00915065"/>
    <w:rsid w:val="00917CE5"/>
    <w:rsid w:val="009217C0"/>
    <w:rsid w:val="00925241"/>
    <w:rsid w:val="009254B6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02A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A5D"/>
    <w:rsid w:val="009E7D90"/>
    <w:rsid w:val="009F0FA2"/>
    <w:rsid w:val="009F1AB0"/>
    <w:rsid w:val="009F451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1A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D02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0A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1CC"/>
    <w:rsid w:val="00AA1C2C"/>
    <w:rsid w:val="00AA35F6"/>
    <w:rsid w:val="00AA667C"/>
    <w:rsid w:val="00AA6E91"/>
    <w:rsid w:val="00AA7439"/>
    <w:rsid w:val="00AB047E"/>
    <w:rsid w:val="00AB0B0A"/>
    <w:rsid w:val="00AB0BB7"/>
    <w:rsid w:val="00AB1A07"/>
    <w:rsid w:val="00AB22C6"/>
    <w:rsid w:val="00AB2AD0"/>
    <w:rsid w:val="00AB3CD3"/>
    <w:rsid w:val="00AB67FC"/>
    <w:rsid w:val="00AC00F2"/>
    <w:rsid w:val="00AC31B5"/>
    <w:rsid w:val="00AC4EA1"/>
    <w:rsid w:val="00AC5381"/>
    <w:rsid w:val="00AC5920"/>
    <w:rsid w:val="00AC6B84"/>
    <w:rsid w:val="00AD0E65"/>
    <w:rsid w:val="00AD2BF2"/>
    <w:rsid w:val="00AD4E90"/>
    <w:rsid w:val="00AD5422"/>
    <w:rsid w:val="00AE4179"/>
    <w:rsid w:val="00AE4425"/>
    <w:rsid w:val="00AE4FBE"/>
    <w:rsid w:val="00AE650F"/>
    <w:rsid w:val="00AE651E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343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36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B4A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F3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6DBE"/>
    <w:rsid w:val="00D07A7B"/>
    <w:rsid w:val="00D10E06"/>
    <w:rsid w:val="00D15197"/>
    <w:rsid w:val="00D16820"/>
    <w:rsid w:val="00D169C8"/>
    <w:rsid w:val="00D16F7C"/>
    <w:rsid w:val="00D1793F"/>
    <w:rsid w:val="00D22AF5"/>
    <w:rsid w:val="00D22EAA"/>
    <w:rsid w:val="00D235EA"/>
    <w:rsid w:val="00D247A9"/>
    <w:rsid w:val="00D26676"/>
    <w:rsid w:val="00D32721"/>
    <w:rsid w:val="00D328DC"/>
    <w:rsid w:val="00D33387"/>
    <w:rsid w:val="00D402FB"/>
    <w:rsid w:val="00D41A0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2BB"/>
    <w:rsid w:val="00D81397"/>
    <w:rsid w:val="00D81A8F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3447"/>
    <w:rsid w:val="00DE1554"/>
    <w:rsid w:val="00DE2901"/>
    <w:rsid w:val="00DE590F"/>
    <w:rsid w:val="00DE7154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6E7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03B"/>
    <w:rsid w:val="00F115CA"/>
    <w:rsid w:val="00F1419C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3B4"/>
    <w:rsid w:val="00F55BA8"/>
    <w:rsid w:val="00F55DB1"/>
    <w:rsid w:val="00F56ACA"/>
    <w:rsid w:val="00F600FE"/>
    <w:rsid w:val="00F629FA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486E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5316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A613F"/>
  <w15:docId w15:val="{0E00C162-CB49-4FDF-B2FE-5E95293F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B1A0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onika.malowiecka3@cyfr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kart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70</TotalTime>
  <Pages>1</Pages>
  <Words>2570</Words>
  <Characters>15423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Łopatka Magdalena</dc:creator>
  <cp:lastModifiedBy>Witkowska-Krzymowska Magdalena</cp:lastModifiedBy>
  <cp:revision>10</cp:revision>
  <cp:lastPrinted>2012-04-23T06:39:00Z</cp:lastPrinted>
  <dcterms:created xsi:type="dcterms:W3CDTF">2025-10-30T08:18:00Z</dcterms:created>
  <dcterms:modified xsi:type="dcterms:W3CDTF">2025-10-31T11:09:00Z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