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D8F1" w14:textId="77E24B48" w:rsidR="00261A16" w:rsidRDefault="00156BF8" w:rsidP="00156BF8">
      <w:pPr>
        <w:pStyle w:val="OZNPROJEKTUwskazaniedatylubwersjiprojektu"/>
      </w:pPr>
      <w:r w:rsidRPr="00C07C37">
        <w:t xml:space="preserve">Projekt z dnia </w:t>
      </w:r>
      <w:r w:rsidR="00987408">
        <w:t>1</w:t>
      </w:r>
      <w:r w:rsidR="00D13B9B">
        <w:t>7</w:t>
      </w:r>
      <w:r w:rsidR="00987408">
        <w:t xml:space="preserve"> września</w:t>
      </w:r>
      <w:r w:rsidR="00417C9D" w:rsidRPr="00C07C37">
        <w:t xml:space="preserve"> 2025 </w:t>
      </w:r>
      <w:r w:rsidRPr="00C07C37">
        <w:t xml:space="preserve">r. </w:t>
      </w:r>
    </w:p>
    <w:p w14:paraId="132F7AA3" w14:textId="69B4642E" w:rsidR="00156BF8" w:rsidRPr="00C07C37" w:rsidRDefault="00156BF8" w:rsidP="00156BF8">
      <w:pPr>
        <w:pStyle w:val="OZNRODZAKTUtznustawalubrozporzdzenieiorganwydajcy"/>
      </w:pPr>
      <w:r w:rsidRPr="00C07C37">
        <w:t xml:space="preserve">Ustawa </w:t>
      </w:r>
    </w:p>
    <w:p w14:paraId="286897DA" w14:textId="73E0DA91" w:rsidR="00156BF8" w:rsidRPr="00C07C37" w:rsidRDefault="00156BF8" w:rsidP="00156BF8">
      <w:pPr>
        <w:pStyle w:val="DATAAKTUdatauchwalenialubwydaniaaktu"/>
      </w:pPr>
      <w:r w:rsidRPr="00C07C37">
        <w:t>z dnia</w:t>
      </w:r>
      <w:r w:rsidR="00473E85">
        <w:t xml:space="preserve"> </w:t>
      </w:r>
      <w:r w:rsidRPr="00C07C37">
        <w:t>…</w:t>
      </w:r>
    </w:p>
    <w:p w14:paraId="640BB049" w14:textId="3E056698" w:rsidR="008F7F55" w:rsidRPr="00C07C37" w:rsidRDefault="00156BF8" w:rsidP="000B2CAE">
      <w:pPr>
        <w:pStyle w:val="TYTUAKTUprzedmiotregulacjiustawylubrozporzdzenia"/>
      </w:pPr>
      <w:r w:rsidRPr="00C07C37">
        <w:t>o</w:t>
      </w:r>
      <w:r w:rsidR="00B94A2C" w:rsidRPr="00C07C37">
        <w:t xml:space="preserve"> </w:t>
      </w:r>
      <w:r w:rsidR="003352D0" w:rsidRPr="00C07C37">
        <w:t xml:space="preserve">usłudze </w:t>
      </w:r>
      <w:r w:rsidR="001349F7" w:rsidRPr="00C07C37">
        <w:t>ePłatności</w:t>
      </w:r>
    </w:p>
    <w:p w14:paraId="7F8C31CB" w14:textId="652356B4" w:rsidR="00AB4686" w:rsidRPr="00C07C37" w:rsidRDefault="00156BF8" w:rsidP="005E2C54">
      <w:pPr>
        <w:pStyle w:val="ARTartustawynprozporzdzenia"/>
      </w:pPr>
      <w:r w:rsidRPr="00C07C37">
        <w:rPr>
          <w:rStyle w:val="Ppogrubienie"/>
        </w:rPr>
        <w:t>Art. 1.</w:t>
      </w:r>
      <w:r w:rsidR="00B96245" w:rsidRPr="00C07C37">
        <w:tab/>
      </w:r>
      <w:r w:rsidR="00B96245" w:rsidRPr="00C07C37">
        <w:tab/>
      </w:r>
      <w:r w:rsidR="00B94A2C" w:rsidRPr="00C07C37">
        <w:t>Ustawa określa</w:t>
      </w:r>
      <w:r w:rsidR="00AB4686" w:rsidRPr="00C07C37">
        <w:t>:</w:t>
      </w:r>
    </w:p>
    <w:p w14:paraId="7DEF8FA8" w14:textId="061D0657" w:rsidR="00AB4686" w:rsidRPr="00C07C37" w:rsidRDefault="000A1DEF" w:rsidP="000B2CAE">
      <w:pPr>
        <w:pStyle w:val="PKTpunkt"/>
      </w:pPr>
      <w:r w:rsidRPr="00C07C37">
        <w:t>1)</w:t>
      </w:r>
      <w:r w:rsidRPr="00C07C37">
        <w:tab/>
        <w:t>z</w:t>
      </w:r>
      <w:r w:rsidR="00C0693D" w:rsidRPr="00C07C37">
        <w:t>akres</w:t>
      </w:r>
      <w:r w:rsidR="00D11C3C" w:rsidRPr="00C07C37">
        <w:t xml:space="preserve"> </w:t>
      </w:r>
      <w:r w:rsidR="00AB4686" w:rsidRPr="00C07C37">
        <w:t>usługi ePłatności;</w:t>
      </w:r>
    </w:p>
    <w:p w14:paraId="016C9BE1" w14:textId="619A2C51" w:rsidR="00D11C3C" w:rsidRPr="00C07C37" w:rsidRDefault="000A1DEF" w:rsidP="000B2CAE">
      <w:pPr>
        <w:pStyle w:val="PKTpunkt"/>
      </w:pPr>
      <w:r w:rsidRPr="00C07C37">
        <w:t>2)</w:t>
      </w:r>
      <w:r w:rsidRPr="00C07C37">
        <w:tab/>
      </w:r>
      <w:r w:rsidR="00D11C3C" w:rsidRPr="00C07C37">
        <w:t>zasady korzystania z usługi ePłatności</w:t>
      </w:r>
      <w:r w:rsidRPr="00C07C37">
        <w:t xml:space="preserve"> przez jej użytkowników</w:t>
      </w:r>
      <w:r w:rsidR="00D11C3C" w:rsidRPr="00C07C37">
        <w:t>;</w:t>
      </w:r>
    </w:p>
    <w:p w14:paraId="2381D545" w14:textId="703DA264" w:rsidR="00AB4686" w:rsidRPr="00C07C37" w:rsidRDefault="000A1DEF" w:rsidP="000B2CAE">
      <w:pPr>
        <w:pStyle w:val="PKTpunkt"/>
      </w:pPr>
      <w:r w:rsidRPr="00C07C37">
        <w:t>3)</w:t>
      </w:r>
      <w:r w:rsidRPr="00C07C37">
        <w:tab/>
      </w:r>
      <w:r w:rsidR="00B94A2C" w:rsidRPr="00C07C37">
        <w:t>zasady i tryb udostępni</w:t>
      </w:r>
      <w:r w:rsidR="009B3309">
        <w:t>a</w:t>
      </w:r>
      <w:r w:rsidR="00134456" w:rsidRPr="00C07C37">
        <w:t>nia</w:t>
      </w:r>
      <w:r w:rsidR="00F11A6C" w:rsidRPr="00C07C37">
        <w:t xml:space="preserve"> przez ministra właściwego do spraw informatyzacji</w:t>
      </w:r>
      <w:r w:rsidR="00B94A2C" w:rsidRPr="00C07C37">
        <w:t xml:space="preserve"> </w:t>
      </w:r>
      <w:r w:rsidRPr="00C07C37">
        <w:t xml:space="preserve">usługi ePłatności </w:t>
      </w:r>
      <w:r w:rsidR="00AB4686" w:rsidRPr="00C07C37">
        <w:t>podmiotom publicznym</w:t>
      </w:r>
      <w:r w:rsidR="00D11C3C" w:rsidRPr="00C07C37">
        <w:t>.</w:t>
      </w:r>
    </w:p>
    <w:p w14:paraId="1397B8B4" w14:textId="07301599" w:rsidR="001E47C8" w:rsidRPr="00C07C37" w:rsidRDefault="005E2C54" w:rsidP="00BE5E8C">
      <w:pPr>
        <w:pStyle w:val="ARTartustawynprozporzdzenia"/>
        <w:rPr>
          <w:b/>
        </w:rPr>
      </w:pPr>
      <w:r w:rsidRPr="00C07C37">
        <w:rPr>
          <w:rStyle w:val="Ppogrubienie"/>
        </w:rPr>
        <w:t>Art. 2.</w:t>
      </w:r>
      <w:r w:rsidR="00B96245" w:rsidRPr="00C07C37">
        <w:rPr>
          <w:rStyle w:val="Ppogrubienie"/>
        </w:rPr>
        <w:tab/>
      </w:r>
      <w:r w:rsidR="00B96245" w:rsidRPr="00C07C37">
        <w:rPr>
          <w:rStyle w:val="Ppogrubienie"/>
        </w:rPr>
        <w:tab/>
      </w:r>
      <w:r w:rsidR="001E47C8" w:rsidRPr="00C07C37">
        <w:rPr>
          <w:bCs/>
        </w:rPr>
        <w:t>Użyte w ustawie określenia oznaczają</w:t>
      </w:r>
      <w:r w:rsidR="007E58E9" w:rsidRPr="00C07C37">
        <w:rPr>
          <w:rStyle w:val="Ppogrubienie"/>
          <w:b w:val="0"/>
          <w:bCs/>
        </w:rPr>
        <w:t>:</w:t>
      </w:r>
    </w:p>
    <w:p w14:paraId="111B5C0F" w14:textId="5AB93791" w:rsidR="000C4A93" w:rsidRPr="00C07C37" w:rsidRDefault="00BE5E8C" w:rsidP="000B2CAE">
      <w:pPr>
        <w:pStyle w:val="PKTpunkt"/>
      </w:pPr>
      <w:r w:rsidRPr="00C07C37">
        <w:t>1</w:t>
      </w:r>
      <w:r w:rsidR="000831BD" w:rsidRPr="00C07C37">
        <w:t>)</w:t>
      </w:r>
      <w:r w:rsidR="000831BD" w:rsidRPr="00C07C37">
        <w:tab/>
      </w:r>
      <w:r w:rsidR="00832331" w:rsidRPr="00C07C37">
        <w:t>należnoś</w:t>
      </w:r>
      <w:r w:rsidRPr="00C07C37">
        <w:t>ć</w:t>
      </w:r>
      <w:r w:rsidR="000831BD" w:rsidRPr="00C07C37">
        <w:t>:</w:t>
      </w:r>
    </w:p>
    <w:p w14:paraId="7BD7264C" w14:textId="70EDAC4A" w:rsidR="005E2C54" w:rsidRPr="00C07C37" w:rsidRDefault="007E58E9" w:rsidP="000B2CAE">
      <w:pPr>
        <w:pStyle w:val="LITlitera"/>
      </w:pPr>
      <w:r w:rsidRPr="00C07C37">
        <w:t>a</w:t>
      </w:r>
      <w:r w:rsidR="000C4A93" w:rsidRPr="00C07C37">
        <w:t>)</w:t>
      </w:r>
      <w:r w:rsidR="00AA4444" w:rsidRPr="00C07C37">
        <w:tab/>
      </w:r>
      <w:r w:rsidR="000C4A93" w:rsidRPr="00C07C37">
        <w:t>poda</w:t>
      </w:r>
      <w:r w:rsidR="00832331" w:rsidRPr="00C07C37">
        <w:t>tki</w:t>
      </w:r>
      <w:r w:rsidR="000C4A93" w:rsidRPr="00C07C37">
        <w:t>,</w:t>
      </w:r>
      <w:r w:rsidR="005E2C54" w:rsidRPr="00C07C37">
        <w:t xml:space="preserve"> opłat</w:t>
      </w:r>
      <w:r w:rsidR="00832331" w:rsidRPr="00C07C37">
        <w:t>y</w:t>
      </w:r>
      <w:r w:rsidR="005E2C54" w:rsidRPr="00C07C37">
        <w:t>,</w:t>
      </w:r>
      <w:r w:rsidR="000C4A93" w:rsidRPr="00C07C37">
        <w:t xml:space="preserve"> niepodatkow</w:t>
      </w:r>
      <w:r w:rsidR="00832331" w:rsidRPr="00C07C37">
        <w:t>e</w:t>
      </w:r>
      <w:r w:rsidR="000C4A93" w:rsidRPr="00C07C37">
        <w:t xml:space="preserve"> należności budżetu państwa oraz budżet</w:t>
      </w:r>
      <w:r w:rsidR="000755B8" w:rsidRPr="00C07C37">
        <w:t>u</w:t>
      </w:r>
      <w:r w:rsidR="000C4A93" w:rsidRPr="00C07C37">
        <w:t xml:space="preserve"> jednostek samorządu terytorialnego</w:t>
      </w:r>
      <w:r w:rsidR="004D57D4" w:rsidRPr="00C07C37">
        <w:t>,</w:t>
      </w:r>
    </w:p>
    <w:p w14:paraId="25EE1DB4" w14:textId="1A2DE7BD" w:rsidR="006D3333" w:rsidRPr="00C07C37" w:rsidRDefault="007E58E9" w:rsidP="000B2CAE">
      <w:pPr>
        <w:pStyle w:val="LITlitera"/>
      </w:pPr>
      <w:r w:rsidRPr="00C07C37">
        <w:t>b</w:t>
      </w:r>
      <w:r w:rsidR="005E2C54" w:rsidRPr="00C07C37">
        <w:t>)</w:t>
      </w:r>
      <w:r w:rsidR="00AA4444" w:rsidRPr="00C07C37">
        <w:tab/>
      </w:r>
      <w:r w:rsidR="006D3333" w:rsidRPr="00C07C37">
        <w:t>opłaty skarbowe oraz opłat</w:t>
      </w:r>
      <w:r w:rsidR="00832331" w:rsidRPr="00C07C37">
        <w:t>y</w:t>
      </w:r>
      <w:r w:rsidR="006D3333" w:rsidRPr="00C07C37">
        <w:t xml:space="preserve">, o których mowa w przepisach </w:t>
      </w:r>
      <w:r w:rsidR="00832331" w:rsidRPr="00C07C37">
        <w:t xml:space="preserve">ustawy z dnia 12 stycznia 1991 r. </w:t>
      </w:r>
      <w:r w:rsidR="006D3333" w:rsidRPr="00C07C37">
        <w:t>o podatkach i opłatach lokalnych</w:t>
      </w:r>
      <w:r w:rsidR="00832331" w:rsidRPr="00C07C37">
        <w:t xml:space="preserve"> (Dz. U. </w:t>
      </w:r>
      <w:bookmarkStart w:id="0" w:name="_Hlk207092982"/>
      <w:r w:rsidR="00832331" w:rsidRPr="00C07C37">
        <w:t>z 202</w:t>
      </w:r>
      <w:r w:rsidR="00FA2DC0" w:rsidRPr="00C07C37">
        <w:t>5</w:t>
      </w:r>
      <w:r w:rsidR="00832331" w:rsidRPr="00C07C37">
        <w:t xml:space="preserve"> r. poz. 70</w:t>
      </w:r>
      <w:r w:rsidR="00FA2DC0" w:rsidRPr="00C07C37">
        <w:t>7</w:t>
      </w:r>
      <w:bookmarkEnd w:id="0"/>
      <w:r w:rsidR="00832331" w:rsidRPr="00C07C37">
        <w:t>)</w:t>
      </w:r>
      <w:r w:rsidR="006D3333" w:rsidRPr="00C07C37">
        <w:t>,</w:t>
      </w:r>
    </w:p>
    <w:p w14:paraId="40D2AE3A" w14:textId="365E8B27" w:rsidR="004D57D4" w:rsidRPr="00C07C37" w:rsidRDefault="007E58E9" w:rsidP="000B2CAE">
      <w:pPr>
        <w:pStyle w:val="LITlitera"/>
      </w:pPr>
      <w:r w:rsidRPr="00C07C37">
        <w:t>c</w:t>
      </w:r>
      <w:r w:rsidR="006D3333" w:rsidRPr="00C07C37">
        <w:t>)</w:t>
      </w:r>
      <w:r w:rsidR="006D3333" w:rsidRPr="00C07C37">
        <w:tab/>
      </w:r>
      <w:r w:rsidR="000C4A93" w:rsidRPr="00C07C37">
        <w:t>opłat</w:t>
      </w:r>
      <w:r w:rsidR="00832331" w:rsidRPr="00C07C37">
        <w:t>y</w:t>
      </w:r>
      <w:r w:rsidR="005E2C54" w:rsidRPr="00C07C37">
        <w:t xml:space="preserve"> inn</w:t>
      </w:r>
      <w:r w:rsidR="00832331" w:rsidRPr="00C07C37">
        <w:t xml:space="preserve">e </w:t>
      </w:r>
      <w:r w:rsidR="005E2C54" w:rsidRPr="00C07C37">
        <w:t xml:space="preserve">niż wymienione w </w:t>
      </w:r>
      <w:r w:rsidR="000831BD" w:rsidRPr="00C07C37">
        <w:t>lit. a i b</w:t>
      </w:r>
      <w:r w:rsidR="00817C4D" w:rsidRPr="00C07C37">
        <w:t>,</w:t>
      </w:r>
      <w:r w:rsidR="000C4A93" w:rsidRPr="00C07C37">
        <w:t xml:space="preserve"> pobieran</w:t>
      </w:r>
      <w:r w:rsidR="00832331" w:rsidRPr="00C07C37">
        <w:t>e</w:t>
      </w:r>
      <w:r w:rsidR="000C4A93" w:rsidRPr="00C07C37">
        <w:t xml:space="preserve"> przez podmioty publiczne na podstawie przepisów</w:t>
      </w:r>
      <w:r w:rsidR="005E2C54" w:rsidRPr="00C07C37">
        <w:t xml:space="preserve"> odrębnych</w:t>
      </w:r>
      <w:r w:rsidRPr="00C07C37">
        <w:t>;</w:t>
      </w:r>
    </w:p>
    <w:p w14:paraId="02308633" w14:textId="5667D8FC" w:rsidR="00BE5E8C" w:rsidRPr="00C07C37" w:rsidRDefault="00BE5E8C">
      <w:pPr>
        <w:pStyle w:val="PKTpunkt"/>
      </w:pPr>
      <w:r w:rsidRPr="00C07C37">
        <w:t>2</w:t>
      </w:r>
      <w:r w:rsidR="007E58E9" w:rsidRPr="00C07C37">
        <w:t>)</w:t>
      </w:r>
      <w:r w:rsidR="000831BD" w:rsidRPr="00C07C37">
        <w:tab/>
      </w:r>
      <w:r w:rsidRPr="00C07C37">
        <w:t>usługa ePłatności – usług</w:t>
      </w:r>
      <w:r w:rsidR="000805FF">
        <w:t>ę</w:t>
      </w:r>
      <w:r w:rsidRPr="00C07C37">
        <w:t xml:space="preserve"> online umożliwiając</w:t>
      </w:r>
      <w:r w:rsidR="000805FF">
        <w:t>ą</w:t>
      </w:r>
      <w:r w:rsidRPr="00C07C37">
        <w:t xml:space="preserve"> </w:t>
      </w:r>
      <w:r w:rsidR="00657BE6" w:rsidRPr="00C07C37">
        <w:t>realizację</w:t>
      </w:r>
      <w:r w:rsidRPr="00C07C37">
        <w:t xml:space="preserve"> elektronicznych transakcji płatniczych dotyczących należności pobieranych przez podmioty publiczne;</w:t>
      </w:r>
    </w:p>
    <w:p w14:paraId="66BA073B" w14:textId="306F7920" w:rsidR="00DB1DF1" w:rsidRPr="00C07C37" w:rsidRDefault="00BE5E8C">
      <w:pPr>
        <w:pStyle w:val="PKTpunkt"/>
      </w:pPr>
      <w:r w:rsidRPr="00C07C37">
        <w:t>3)</w:t>
      </w:r>
      <w:r w:rsidRPr="00C07C37">
        <w:tab/>
      </w:r>
      <w:r w:rsidR="00DB1DF1" w:rsidRPr="00C07C37">
        <w:t xml:space="preserve">użytkownik usługi ePłatności – osobę fizyczną, </w:t>
      </w:r>
      <w:r w:rsidR="006356D1" w:rsidRPr="00C07C37">
        <w:t>w</w:t>
      </w:r>
      <w:r w:rsidR="00934D11" w:rsidRPr="00C07C37">
        <w:t xml:space="preserve"> tym</w:t>
      </w:r>
      <w:r w:rsidR="006356D1" w:rsidRPr="00C07C37">
        <w:t xml:space="preserve"> </w:t>
      </w:r>
      <w:r w:rsidR="00934D11" w:rsidRPr="00C07C37">
        <w:t>przedsiębiorcę będącego osobą fizyczną</w:t>
      </w:r>
      <w:r w:rsidR="006356D1" w:rsidRPr="00C07C37">
        <w:t xml:space="preserve">, </w:t>
      </w:r>
      <w:r w:rsidR="008C7DA5" w:rsidRPr="00C07C37">
        <w:t>dokonując</w:t>
      </w:r>
      <w:r w:rsidR="00987408">
        <w:t>ą</w:t>
      </w:r>
      <w:r w:rsidR="008C7DA5" w:rsidRPr="00C07C37">
        <w:t xml:space="preserve"> </w:t>
      </w:r>
      <w:r w:rsidR="00DB1DF1" w:rsidRPr="00C07C37">
        <w:t xml:space="preserve">opłaty należności na rzecz podmiotu </w:t>
      </w:r>
      <w:r w:rsidR="008C7DA5" w:rsidRPr="00C07C37">
        <w:t>w usłudze ePłatności</w:t>
      </w:r>
      <w:r w:rsidR="00DB1DF1" w:rsidRPr="00C07C37">
        <w:t>;</w:t>
      </w:r>
    </w:p>
    <w:p w14:paraId="7D4961E1" w14:textId="29BF80A5" w:rsidR="007E58E9" w:rsidRPr="00C07C37" w:rsidRDefault="00DB1DF1">
      <w:pPr>
        <w:pStyle w:val="PKTpunkt"/>
      </w:pPr>
      <w:r w:rsidRPr="00C07C37">
        <w:t>4)</w:t>
      </w:r>
      <w:r w:rsidRPr="00C07C37">
        <w:tab/>
      </w:r>
      <w:r w:rsidR="007E58E9" w:rsidRPr="00C07C37">
        <w:t>podmiot publiczn</w:t>
      </w:r>
      <w:r w:rsidR="000831BD" w:rsidRPr="00C07C37">
        <w:t>y</w:t>
      </w:r>
      <w:r w:rsidR="007E58E9" w:rsidRPr="00C07C37">
        <w:t xml:space="preserve"> </w:t>
      </w:r>
      <w:r w:rsidR="000831BD" w:rsidRPr="00C07C37">
        <w:t>–</w:t>
      </w:r>
      <w:r w:rsidR="007E58E9" w:rsidRPr="00C07C37">
        <w:t xml:space="preserve"> </w:t>
      </w:r>
      <w:r w:rsidR="000831BD" w:rsidRPr="00C07C37">
        <w:t>podmiot</w:t>
      </w:r>
      <w:r w:rsidR="00BE5E8C" w:rsidRPr="00C07C37">
        <w:t xml:space="preserve"> publiczny</w:t>
      </w:r>
      <w:r w:rsidR="000831BD" w:rsidRPr="00C07C37">
        <w:t>, o którym mowa w art. 2 ust. 1 ustawy z dnia 17 lutego 200</w:t>
      </w:r>
      <w:r w:rsidR="000805FF">
        <w:t>5</w:t>
      </w:r>
      <w:r w:rsidR="000831BD" w:rsidRPr="00C07C37">
        <w:t xml:space="preserve"> r. o informatyzacji </w:t>
      </w:r>
      <w:r w:rsidR="000805FF">
        <w:t xml:space="preserve">działalności </w:t>
      </w:r>
      <w:r w:rsidR="000831BD" w:rsidRPr="00C07C37">
        <w:t>podmiotów realizujących zadania publiczne (Dz. U. z 2024 r. poz. 1557 i 1717</w:t>
      </w:r>
      <w:r w:rsidR="00FA2DC0" w:rsidRPr="00C07C37">
        <w:t xml:space="preserve"> </w:t>
      </w:r>
      <w:bookmarkStart w:id="1" w:name="_Hlk207093010"/>
      <w:r w:rsidR="00FA2DC0" w:rsidRPr="00C07C37">
        <w:t>oraz z 2025 r. poz. 1006</w:t>
      </w:r>
      <w:r w:rsidR="00D402B2">
        <w:t>,</w:t>
      </w:r>
      <w:r w:rsidR="00FA2DC0" w:rsidRPr="00C07C37">
        <w:t xml:space="preserve"> 1019</w:t>
      </w:r>
      <w:bookmarkEnd w:id="1"/>
      <w:r w:rsidR="00D402B2">
        <w:t xml:space="preserve"> i 1158</w:t>
      </w:r>
      <w:r w:rsidR="000831BD" w:rsidRPr="00C07C37">
        <w:t>);</w:t>
      </w:r>
    </w:p>
    <w:p w14:paraId="4C4FB7DC" w14:textId="421C5F04" w:rsidR="00BE5E8C" w:rsidRPr="00C07C37" w:rsidRDefault="00DB1DF1" w:rsidP="000A1DEF">
      <w:pPr>
        <w:pStyle w:val="PKTpunkt"/>
      </w:pPr>
      <w:r w:rsidRPr="00C07C37">
        <w:t>5</w:t>
      </w:r>
      <w:r w:rsidR="007E58E9" w:rsidRPr="00C07C37">
        <w:t>)</w:t>
      </w:r>
      <w:r w:rsidR="000831BD" w:rsidRPr="00C07C37">
        <w:tab/>
      </w:r>
      <w:r w:rsidR="00BE5E8C" w:rsidRPr="00C07C37">
        <w:t>system teleinformatyczny – system teleinformatyczny, o którym mowa w art. 3 pkt 3 ustawy z dnia 17 lutego 2005 r. o informatyzacji działalności podmiotów realizujących zadania publiczne</w:t>
      </w:r>
      <w:r w:rsidR="00B2643E" w:rsidRPr="00C07C37">
        <w:t>;</w:t>
      </w:r>
    </w:p>
    <w:p w14:paraId="40C5B53E" w14:textId="55DFE193" w:rsidR="00B2643E" w:rsidRPr="00C07C37" w:rsidRDefault="00B2643E" w:rsidP="000A1DEF">
      <w:pPr>
        <w:pStyle w:val="PKTpunkt"/>
      </w:pPr>
      <w:r w:rsidRPr="00C07C37">
        <w:t>6)</w:t>
      </w:r>
      <w:r w:rsidRPr="00C07C37">
        <w:tab/>
        <w:t xml:space="preserve">Platforma ePłatności – system teleinformatyczny </w:t>
      </w:r>
      <w:r w:rsidR="00911382" w:rsidRPr="00C07C37">
        <w:t xml:space="preserve">prowadzony przez </w:t>
      </w:r>
      <w:r w:rsidRPr="00C07C37">
        <w:t xml:space="preserve">ministra właściwego do spraw informatyzacji </w:t>
      </w:r>
      <w:r w:rsidR="00022F31" w:rsidRPr="00C07C37">
        <w:t>zapewniający funkcjonalności niezbędne do działania</w:t>
      </w:r>
      <w:r w:rsidRPr="00C07C37">
        <w:t xml:space="preserve"> usług</w:t>
      </w:r>
      <w:r w:rsidR="00022F31" w:rsidRPr="00C07C37">
        <w:t>i</w:t>
      </w:r>
      <w:r w:rsidRPr="00C07C37">
        <w:t xml:space="preserve"> ePłatności.</w:t>
      </w:r>
    </w:p>
    <w:p w14:paraId="569B2F53" w14:textId="020C3414" w:rsidR="000A1DEF" w:rsidRPr="00C07C37" w:rsidRDefault="000A1DEF" w:rsidP="000A1DEF">
      <w:pPr>
        <w:pStyle w:val="ARTartustawynprozporzdzenia"/>
      </w:pPr>
      <w:r w:rsidRPr="00C07C37">
        <w:rPr>
          <w:b/>
          <w:bCs/>
        </w:rPr>
        <w:t>Art. 3.</w:t>
      </w:r>
      <w:r w:rsidRPr="00C07C37">
        <w:t xml:space="preserve"> 1. Usługa ePłatności </w:t>
      </w:r>
      <w:r w:rsidR="00830A81" w:rsidRPr="00C07C37">
        <w:t>umożliwia</w:t>
      </w:r>
      <w:r w:rsidR="00FA2DC0" w:rsidRPr="00C07C37">
        <w:t>:</w:t>
      </w:r>
    </w:p>
    <w:p w14:paraId="1A73586C" w14:textId="1021DAD7" w:rsidR="000A1DEF" w:rsidRPr="00C07C37" w:rsidRDefault="000A1DEF" w:rsidP="000A1DEF">
      <w:pPr>
        <w:pStyle w:val="PKTpunkt"/>
      </w:pPr>
      <w:r w:rsidRPr="00C07C37">
        <w:lastRenderedPageBreak/>
        <w:t>1)</w:t>
      </w:r>
      <w:r w:rsidRPr="00C07C37">
        <w:tab/>
      </w:r>
      <w:r w:rsidR="00830A81" w:rsidRPr="00C07C37">
        <w:t>udostępnienie</w:t>
      </w:r>
      <w:r w:rsidRPr="00C07C37">
        <w:t xml:space="preserve"> użytkownikowi usługi ePłatności przez podmiot publiczny informacji o należnościach;</w:t>
      </w:r>
    </w:p>
    <w:p w14:paraId="5613F5D5" w14:textId="32186E42" w:rsidR="000A1DEF" w:rsidRPr="00C07C37" w:rsidRDefault="000A1DEF" w:rsidP="000A1DEF">
      <w:pPr>
        <w:pStyle w:val="PKTpunkt"/>
      </w:pPr>
      <w:r w:rsidRPr="00C07C37">
        <w:t>2)</w:t>
      </w:r>
      <w:r w:rsidRPr="00C07C37">
        <w:tab/>
      </w:r>
      <w:r w:rsidR="00830A81" w:rsidRPr="00C07C37">
        <w:t>dokonanie</w:t>
      </w:r>
      <w:r w:rsidR="00997202" w:rsidRPr="00C07C37">
        <w:t xml:space="preserve"> online</w:t>
      </w:r>
      <w:r w:rsidR="00830A81" w:rsidRPr="00C07C37">
        <w:t xml:space="preserve"> </w:t>
      </w:r>
      <w:r w:rsidR="00997202" w:rsidRPr="00C07C37">
        <w:t xml:space="preserve">bezprowizyjnej </w:t>
      </w:r>
      <w:r w:rsidR="00830A81" w:rsidRPr="00C07C37">
        <w:t>opłaty należności;</w:t>
      </w:r>
    </w:p>
    <w:p w14:paraId="56CADAF9" w14:textId="078BD9FB" w:rsidR="000A1DEF" w:rsidRPr="00C07C37" w:rsidRDefault="000A1DEF" w:rsidP="000A1DEF">
      <w:pPr>
        <w:pStyle w:val="PKTpunkt"/>
      </w:pPr>
      <w:r w:rsidRPr="00C07C37">
        <w:t>3)</w:t>
      </w:r>
      <w:r w:rsidRPr="00C07C37">
        <w:tab/>
      </w:r>
      <w:r w:rsidR="00830A81" w:rsidRPr="00C07C37">
        <w:t>udost</w:t>
      </w:r>
      <w:r w:rsidR="00473E85">
        <w:t>ę</w:t>
      </w:r>
      <w:r w:rsidR="00830A81" w:rsidRPr="00C07C37">
        <w:t>pnienie informacji o statusie płatności;</w:t>
      </w:r>
    </w:p>
    <w:p w14:paraId="3F3F6031" w14:textId="0E350A9C" w:rsidR="000A1DEF" w:rsidRPr="00C07C37" w:rsidRDefault="000A1DEF" w:rsidP="000A1DEF">
      <w:pPr>
        <w:pStyle w:val="PKTpunkt"/>
      </w:pPr>
      <w:r w:rsidRPr="00C07C37">
        <w:t>4)</w:t>
      </w:r>
      <w:r w:rsidRPr="00C07C37">
        <w:tab/>
        <w:t xml:space="preserve">wystawienie dowodu potwierdzającego </w:t>
      </w:r>
      <w:r w:rsidR="00E90CF6" w:rsidRPr="00C07C37">
        <w:t>dokonanie</w:t>
      </w:r>
      <w:r w:rsidRPr="00C07C37">
        <w:t xml:space="preserve"> płatności;</w:t>
      </w:r>
    </w:p>
    <w:p w14:paraId="625BF06B" w14:textId="335DD8A5" w:rsidR="000A1DEF" w:rsidRPr="00C07C37" w:rsidRDefault="000A1DEF" w:rsidP="000A1DEF">
      <w:pPr>
        <w:pStyle w:val="PKTpunkt"/>
      </w:pPr>
      <w:r w:rsidRPr="00C07C37">
        <w:t>5)</w:t>
      </w:r>
      <w:r w:rsidRPr="00C07C37">
        <w:tab/>
        <w:t xml:space="preserve">udostępnienie </w:t>
      </w:r>
      <w:r w:rsidR="00830A81" w:rsidRPr="00C07C37">
        <w:t xml:space="preserve">informacji o </w:t>
      </w:r>
      <w:r w:rsidRPr="00C07C37">
        <w:t>historii płatności</w:t>
      </w:r>
      <w:r w:rsidR="00404060" w:rsidRPr="00C07C37">
        <w:t xml:space="preserve"> należności udostępnionej w usłudze ePłatności</w:t>
      </w:r>
      <w:r w:rsidR="60491D21" w:rsidRPr="00C07C37">
        <w:t>;</w:t>
      </w:r>
    </w:p>
    <w:p w14:paraId="7D5A1A8E" w14:textId="52E28373" w:rsidR="000A1DEF" w:rsidRPr="00C07C37" w:rsidRDefault="60491D21" w:rsidP="000A1DEF">
      <w:pPr>
        <w:pStyle w:val="PKTpunkt"/>
      </w:pPr>
      <w:r w:rsidRPr="00C07C37">
        <w:t>6)</w:t>
      </w:r>
      <w:r w:rsidR="000A1DEF" w:rsidRPr="00C07C37">
        <w:tab/>
      </w:r>
      <w:r w:rsidR="0053C8CE" w:rsidRPr="00C07C37">
        <w:t>udostępnienie</w:t>
      </w:r>
      <w:r w:rsidR="022B0546" w:rsidRPr="00C07C37">
        <w:t xml:space="preserve"> innych</w:t>
      </w:r>
      <w:r w:rsidR="0053C8CE" w:rsidRPr="00C07C37">
        <w:t xml:space="preserve"> rozwiązań </w:t>
      </w:r>
      <w:r w:rsidR="4C0C0C22" w:rsidRPr="00C07C37">
        <w:t xml:space="preserve">służących </w:t>
      </w:r>
      <w:r w:rsidR="1A657CCE" w:rsidRPr="00C07C37">
        <w:t>realizacj</w:t>
      </w:r>
      <w:r w:rsidR="3509D2CB" w:rsidRPr="00C07C37">
        <w:t>i</w:t>
      </w:r>
      <w:r w:rsidR="1A657CCE" w:rsidRPr="00C07C37">
        <w:t xml:space="preserve"> elektronicznych transakcji płatniczych</w:t>
      </w:r>
      <w:r w:rsidR="000A1DEF" w:rsidRPr="00C07C37">
        <w:t>.</w:t>
      </w:r>
    </w:p>
    <w:p w14:paraId="52C38C9B" w14:textId="32B70CE3" w:rsidR="000A1DEF" w:rsidRPr="00C07C37" w:rsidRDefault="000A1DEF">
      <w:pPr>
        <w:pStyle w:val="USTustnpkodeksu"/>
      </w:pPr>
      <w:r w:rsidRPr="00C07C37">
        <w:t>2.</w:t>
      </w:r>
      <w:r w:rsidRPr="00C07C37">
        <w:tab/>
        <w:t xml:space="preserve">Dowód, o którym mowa w ust. 1 pkt </w:t>
      </w:r>
      <w:r w:rsidR="00830A81" w:rsidRPr="00C07C37">
        <w:t>4</w:t>
      </w:r>
      <w:r w:rsidRPr="00C07C37">
        <w:t>,</w:t>
      </w:r>
      <w:r w:rsidR="00C63589" w:rsidRPr="00C07C37">
        <w:t xml:space="preserve"> przekazywany do podmiotu publicznego</w:t>
      </w:r>
      <w:r w:rsidR="000805FF">
        <w:t>,</w:t>
      </w:r>
      <w:r w:rsidRPr="00C07C37">
        <w:t xml:space="preserve"> opatruje się kwalifikowaną pieczęcią </w:t>
      </w:r>
      <w:r w:rsidR="00CB37DB" w:rsidRPr="00C07C37">
        <w:t xml:space="preserve">elektroniczną </w:t>
      </w:r>
      <w:r w:rsidRPr="00C07C37">
        <w:t>ministra właściwego do spraw informatyzacji</w:t>
      </w:r>
      <w:r w:rsidR="00E90CF6" w:rsidRPr="00C07C37">
        <w:t>.</w:t>
      </w:r>
    </w:p>
    <w:p w14:paraId="148877E5" w14:textId="1FF2A70F" w:rsidR="00845DA7" w:rsidRPr="00C07C37" w:rsidRDefault="00845DA7" w:rsidP="00845DA7">
      <w:pPr>
        <w:pStyle w:val="ARTartustawynprozporzdzenia"/>
      </w:pPr>
      <w:r w:rsidRPr="00C07C37">
        <w:rPr>
          <w:rStyle w:val="Ppogrubienie"/>
        </w:rPr>
        <w:t>Art. 4.</w:t>
      </w:r>
      <w:r w:rsidRPr="00C07C37">
        <w:t xml:space="preserve"> Jeżeli z przepisów odrębnych wynika </w:t>
      </w:r>
      <w:bookmarkStart w:id="2" w:name="_Hlk196229046"/>
      <w:r w:rsidRPr="00C07C37">
        <w:t>termin na dokonanie płatności, uznaje się, że płatność zrealizowana przy wykorzystaniu usługi ePłatności</w:t>
      </w:r>
      <w:r w:rsidRPr="00C07C37" w:rsidDel="009352AB">
        <w:t xml:space="preserve"> </w:t>
      </w:r>
      <w:r w:rsidRPr="00C07C37">
        <w:t>została dokonana w dniu:</w:t>
      </w:r>
    </w:p>
    <w:p w14:paraId="526C52A0" w14:textId="63739420" w:rsidR="00845DA7" w:rsidRPr="00C07C37" w:rsidRDefault="00845DA7" w:rsidP="00845DA7">
      <w:pPr>
        <w:pStyle w:val="PKTpunkt"/>
      </w:pPr>
      <w:r w:rsidRPr="00C07C37">
        <w:t>1)</w:t>
      </w:r>
      <w:r w:rsidRPr="00C07C37">
        <w:tab/>
        <w:t>uzyskania potwierdzenia autoryzacji transakcji płatniczej, o której mowa w art. 40 ust. 1 ustawy z dnia 19 sierpnia 2011 r. o usługach płatniczych</w:t>
      </w:r>
      <w:r w:rsidR="00E90CF6" w:rsidRPr="00C07C37">
        <w:t xml:space="preserve"> (Dz. U. </w:t>
      </w:r>
      <w:bookmarkStart w:id="3" w:name="_Hlk207092935"/>
      <w:r w:rsidR="00E90CF6" w:rsidRPr="00C07C37">
        <w:t>z 202</w:t>
      </w:r>
      <w:r w:rsidR="00FA2DC0" w:rsidRPr="00C07C37">
        <w:t>5</w:t>
      </w:r>
      <w:r w:rsidR="00E90CF6" w:rsidRPr="00C07C37">
        <w:t xml:space="preserve"> r. poz. </w:t>
      </w:r>
      <w:r w:rsidR="00FA2DC0" w:rsidRPr="00C07C37">
        <w:t>611 i 1069</w:t>
      </w:r>
      <w:bookmarkEnd w:id="3"/>
      <w:r w:rsidR="00E90CF6" w:rsidRPr="00C07C37">
        <w:t>),</w:t>
      </w:r>
      <w:r w:rsidRPr="00C07C37">
        <w:t xml:space="preserve"> lub</w:t>
      </w:r>
    </w:p>
    <w:p w14:paraId="20AA9413" w14:textId="77777777" w:rsidR="00845DA7" w:rsidRPr="00C07C37" w:rsidRDefault="00845DA7" w:rsidP="00845DA7">
      <w:pPr>
        <w:pStyle w:val="PKTpunkt"/>
      </w:pPr>
      <w:r w:rsidRPr="00C07C37">
        <w:t>2)</w:t>
      </w:r>
      <w:r w:rsidRPr="00C07C37">
        <w:tab/>
        <w:t>zainicjowania transakcji przez odbiorcę, jeżeli płatnik nie odwołał zlecenia zgodnie z art. 51 ust. 3 ustawy z dnia 19 sierpnia 2011 r. o usługach płatniczych.</w:t>
      </w:r>
    </w:p>
    <w:bookmarkEnd w:id="2"/>
    <w:p w14:paraId="1BEBA6DE" w14:textId="1B362B35" w:rsidR="000A1DEF" w:rsidRPr="00C07C37" w:rsidRDefault="000A1DEF" w:rsidP="00806DF4">
      <w:pPr>
        <w:pStyle w:val="ARTartustawynprozporzdzenia"/>
      </w:pPr>
      <w:r w:rsidRPr="00C07C37">
        <w:rPr>
          <w:b/>
          <w:bCs/>
        </w:rPr>
        <w:t xml:space="preserve">Art. </w:t>
      </w:r>
      <w:r w:rsidR="00845DA7" w:rsidRPr="00C07C37">
        <w:rPr>
          <w:b/>
          <w:bCs/>
        </w:rPr>
        <w:t>5</w:t>
      </w:r>
      <w:r w:rsidRPr="00C07C37">
        <w:rPr>
          <w:b/>
          <w:bCs/>
        </w:rPr>
        <w:t>.</w:t>
      </w:r>
      <w:r w:rsidRPr="00C07C37">
        <w:tab/>
        <w:t xml:space="preserve"> </w:t>
      </w:r>
      <w:bookmarkStart w:id="4" w:name="_Hlk196229070"/>
      <w:r w:rsidRPr="00C07C37">
        <w:t>Użytkownik</w:t>
      </w:r>
      <w:r w:rsidR="71E0C041" w:rsidRPr="00C07C37">
        <w:t>iem</w:t>
      </w:r>
      <w:r w:rsidRPr="00C07C37">
        <w:t xml:space="preserve"> usługi ePłatności może </w:t>
      </w:r>
      <w:r w:rsidR="00E8AA4E" w:rsidRPr="00C07C37">
        <w:t>zostać osoba fizyczna, która została</w:t>
      </w:r>
      <w:r w:rsidR="3A4E73F5" w:rsidRPr="00C07C37">
        <w:t xml:space="preserve"> </w:t>
      </w:r>
      <w:r w:rsidRPr="00C07C37">
        <w:t>uwierzytelni</w:t>
      </w:r>
      <w:r w:rsidR="00B87CA5">
        <w:t>ona</w:t>
      </w:r>
      <w:r w:rsidRPr="00C07C37">
        <w:t xml:space="preserve"> w sposób określony w art. 20a ust. 1 pkt 1 lub 2 ustawy z dnia 17 lutego 2005 r. o informatyzacji działalności podmiotów realizujących zadania publiczne z wykorzystaniem środka identyfikacji elektronicznej zapewniającego co najmniej średni poziom bezpieczeństwa, o którym mowa w art. 8 ust. 2 lit. b rozporządzenia 910/2014 dnia 23 lipca 2014 r. w sprawie identyfikacji elektronicznej i usług zaufania w odniesieniu do transakcji elektronicznych na rynku wewnętrznym oraz uchylającego dyrektywę 1999/93/WE (Dz. Urz. UE L 257 z 28.08.2014, str. 73</w:t>
      </w:r>
      <w:r w:rsidR="00806DF4">
        <w:t>,</w:t>
      </w:r>
      <w:r w:rsidR="00806DF4" w:rsidRPr="00806DF4">
        <w:rPr>
          <w:rFonts w:eastAsia="Calibri" w:cs="Times New Roman"/>
          <w:sz w:val="22"/>
          <w:szCs w:val="22"/>
          <w:lang w:eastAsia="en-US"/>
        </w:rPr>
        <w:t xml:space="preserve"> </w:t>
      </w:r>
      <w:r w:rsidR="00806DF4" w:rsidRPr="00806DF4">
        <w:t>Dz. Urz. UE L 333 z 27.12.2022, str. 80 oraz Dz. Urz. UE L 2024/1183 z 30.04.2024).</w:t>
      </w:r>
    </w:p>
    <w:bookmarkEnd w:id="4"/>
    <w:p w14:paraId="234FA60A" w14:textId="781F429B" w:rsidR="00BE5E8C" w:rsidRPr="00C07C37" w:rsidRDefault="00BE5E8C" w:rsidP="000B2CAE">
      <w:pPr>
        <w:pStyle w:val="ARTartustawynprozporzdzenia"/>
      </w:pPr>
      <w:r w:rsidRPr="00C07C37">
        <w:rPr>
          <w:rStyle w:val="Ppogrubienie"/>
        </w:rPr>
        <w:t xml:space="preserve">Art. </w:t>
      </w:r>
      <w:r w:rsidR="00845DA7" w:rsidRPr="00C07C37">
        <w:rPr>
          <w:rStyle w:val="Ppogrubienie"/>
        </w:rPr>
        <w:t>6</w:t>
      </w:r>
      <w:r w:rsidRPr="00C07C37">
        <w:rPr>
          <w:rStyle w:val="Ppogrubienie"/>
        </w:rPr>
        <w:t>.</w:t>
      </w:r>
      <w:r w:rsidRPr="00C07C37">
        <w:t xml:space="preserve"> 1.</w:t>
      </w:r>
      <w:r w:rsidRPr="00C07C37">
        <w:tab/>
        <w:t xml:space="preserve">Minister właściwy do spraw informatyzacji: </w:t>
      </w:r>
    </w:p>
    <w:p w14:paraId="41A1A034" w14:textId="34D3C985" w:rsidR="00BE5E8C" w:rsidRPr="00C07C37" w:rsidRDefault="00BE5E8C" w:rsidP="00BE5E8C">
      <w:pPr>
        <w:pStyle w:val="PKTpunkt"/>
      </w:pPr>
      <w:r w:rsidRPr="00C07C37">
        <w:t>1)</w:t>
      </w:r>
      <w:r w:rsidRPr="00C07C37">
        <w:tab/>
        <w:t xml:space="preserve">utrzymuje oraz zapewnia rozwój </w:t>
      </w:r>
      <w:r w:rsidR="0041240A" w:rsidRPr="00C07C37">
        <w:t xml:space="preserve">Platformy ePłatności i </w:t>
      </w:r>
      <w:r w:rsidRPr="00C07C37">
        <w:t>usługi ePłatności;</w:t>
      </w:r>
    </w:p>
    <w:p w14:paraId="708BCB2C" w14:textId="60CF2642" w:rsidR="00BE5E8C" w:rsidRPr="00C07C37" w:rsidRDefault="00BE5E8C" w:rsidP="00BE5E8C">
      <w:pPr>
        <w:pStyle w:val="PKTpunkt"/>
      </w:pPr>
      <w:r w:rsidRPr="00C07C37">
        <w:t>2)</w:t>
      </w:r>
      <w:r w:rsidRPr="00C07C37">
        <w:tab/>
        <w:t xml:space="preserve">zapewnia </w:t>
      </w:r>
      <w:r w:rsidR="00110F6F" w:rsidRPr="00C07C37">
        <w:t>cyberbezpieczeństwo</w:t>
      </w:r>
      <w:r w:rsidRPr="00C07C37">
        <w:t xml:space="preserve"> </w:t>
      </w:r>
      <w:r w:rsidR="0041240A" w:rsidRPr="00C07C37">
        <w:t>Platformy ePłatności</w:t>
      </w:r>
      <w:r w:rsidR="00A4120C" w:rsidRPr="00C07C37">
        <w:t xml:space="preserve"> i usługi ePłatności</w:t>
      </w:r>
      <w:r w:rsidRPr="00C07C37">
        <w:t>;</w:t>
      </w:r>
    </w:p>
    <w:p w14:paraId="1C583AAA" w14:textId="77A2B037" w:rsidR="00CB37DB" w:rsidRPr="00C07C37" w:rsidRDefault="00BE5E8C" w:rsidP="00BE5E8C">
      <w:pPr>
        <w:pStyle w:val="PKTpunkt"/>
      </w:pPr>
      <w:r w:rsidRPr="00C07C37">
        <w:lastRenderedPageBreak/>
        <w:t>3</w:t>
      </w:r>
      <w:r w:rsidR="00473E85" w:rsidRPr="00C07C37">
        <w:t>)</w:t>
      </w:r>
      <w:r w:rsidR="00473E85">
        <w:tab/>
      </w:r>
      <w:r w:rsidR="00CB37DB" w:rsidRPr="00C07C37">
        <w:t xml:space="preserve">zapewnia zgodność usługi ePłatności i </w:t>
      </w:r>
      <w:r w:rsidR="00100993" w:rsidRPr="00C07C37">
        <w:t>Platformy</w:t>
      </w:r>
      <w:r w:rsidR="002B7ED4" w:rsidRPr="00C07C37">
        <w:t xml:space="preserve"> ePłatności </w:t>
      </w:r>
      <w:r w:rsidR="00CB37DB" w:rsidRPr="00C07C37">
        <w:t>z wymaganiami schematów płatniczych</w:t>
      </w:r>
      <w:r w:rsidR="00473E85">
        <w:t>,</w:t>
      </w:r>
      <w:r w:rsidR="00CB37DB" w:rsidRPr="00C07C37">
        <w:t xml:space="preserve"> w tym organizacji płatniczych będących właścicielami usług płatniczych oferowanych w usłudze ePłatności i Platformie ePłatności</w:t>
      </w:r>
      <w:r w:rsidR="007A1997" w:rsidRPr="00C07C37">
        <w:t>;</w:t>
      </w:r>
      <w:r w:rsidR="002B7ED4" w:rsidRPr="00C07C37">
        <w:t xml:space="preserve"> </w:t>
      </w:r>
    </w:p>
    <w:p w14:paraId="3DFE407C" w14:textId="7196B03F" w:rsidR="00BE5E8C" w:rsidRPr="00C07C37" w:rsidRDefault="002B7ED4" w:rsidP="00BE5E8C">
      <w:pPr>
        <w:pStyle w:val="PKTpunkt"/>
      </w:pPr>
      <w:r w:rsidRPr="00C07C37">
        <w:t>4</w:t>
      </w:r>
      <w:r w:rsidR="00CB37DB" w:rsidRPr="00C07C37">
        <w:t>)</w:t>
      </w:r>
      <w:r w:rsidRPr="00C07C37">
        <w:tab/>
      </w:r>
      <w:r w:rsidR="00BE5E8C" w:rsidRPr="00C07C37">
        <w:t>zapewni</w:t>
      </w:r>
      <w:r w:rsidR="00E90CF6" w:rsidRPr="00C07C37">
        <w:t>a możliwość</w:t>
      </w:r>
      <w:r w:rsidR="00BE5E8C" w:rsidRPr="00C07C37">
        <w:t xml:space="preserve"> integracj</w:t>
      </w:r>
      <w:r w:rsidR="00E90CF6" w:rsidRPr="00C07C37">
        <w:t>i</w:t>
      </w:r>
      <w:r w:rsidR="00BE5E8C" w:rsidRPr="00C07C37">
        <w:t xml:space="preserve"> </w:t>
      </w:r>
      <w:r w:rsidR="00E90CF6" w:rsidRPr="00C07C37">
        <w:t xml:space="preserve">systemów teleinformatycznych podmiotów publicznych, </w:t>
      </w:r>
      <w:r w:rsidR="0091687F" w:rsidRPr="00C07C37">
        <w:t xml:space="preserve">Banku Gospodarstwa Krajowego, zwanego dalej „BGK”, </w:t>
      </w:r>
      <w:r w:rsidR="00E90CF6" w:rsidRPr="00C07C37">
        <w:t>oraz usług</w:t>
      </w:r>
      <w:r w:rsidR="00BE5E8C" w:rsidRPr="00C07C37">
        <w:t xml:space="preserve"> płatniczy</w:t>
      </w:r>
      <w:r w:rsidR="00E90CF6" w:rsidRPr="00C07C37">
        <w:t>ch</w:t>
      </w:r>
      <w:r w:rsidR="00BE5E8C" w:rsidRPr="00C07C37">
        <w:t xml:space="preserve"> dostawców usług płatniczych</w:t>
      </w:r>
      <w:r w:rsidR="00E90CF6" w:rsidRPr="00C07C37">
        <w:t xml:space="preserve"> z usługą ePłatności</w:t>
      </w:r>
      <w:r w:rsidR="00BE5E8C" w:rsidRPr="00C07C37">
        <w:t>;</w:t>
      </w:r>
    </w:p>
    <w:p w14:paraId="21574D71" w14:textId="3CF45A32" w:rsidR="00CB37DB" w:rsidRPr="00C07C37" w:rsidRDefault="00CB37DB" w:rsidP="00BE5E8C">
      <w:pPr>
        <w:pStyle w:val="PKTpunkt"/>
      </w:pPr>
      <w:r w:rsidRPr="00C07C37">
        <w:t>5</w:t>
      </w:r>
      <w:r w:rsidR="00BE5E8C" w:rsidRPr="00C07C37">
        <w:t>)</w:t>
      </w:r>
      <w:r w:rsidR="00BE5E8C" w:rsidRPr="00C07C37">
        <w:tab/>
        <w:t xml:space="preserve">zapewnia bezpieczeństwo i integralność przetwarzanych danych </w:t>
      </w:r>
      <w:r w:rsidR="00D52484" w:rsidRPr="00C07C37">
        <w:t>w P</w:t>
      </w:r>
      <w:r w:rsidR="008C7DA5" w:rsidRPr="00C07C37">
        <w:t>latformie</w:t>
      </w:r>
      <w:r w:rsidR="00D52484" w:rsidRPr="00C07C37">
        <w:t xml:space="preserve"> ePłatności i</w:t>
      </w:r>
      <w:r w:rsidR="00A4120C" w:rsidRPr="00C07C37">
        <w:t xml:space="preserve"> </w:t>
      </w:r>
      <w:r w:rsidR="00BE5E8C" w:rsidRPr="00C07C37">
        <w:t>usłudze ePłatności</w:t>
      </w:r>
      <w:r w:rsidRPr="00C07C37">
        <w:t>;</w:t>
      </w:r>
    </w:p>
    <w:p w14:paraId="5D94BFE5" w14:textId="7B486903" w:rsidR="00E833F6" w:rsidRPr="00C07C37" w:rsidRDefault="00CB37DB" w:rsidP="00C07C37">
      <w:pPr>
        <w:pStyle w:val="PKTpunkt"/>
      </w:pPr>
      <w:r w:rsidRPr="00C07C37">
        <w:t>6)</w:t>
      </w:r>
      <w:r w:rsidRPr="00C07C37">
        <w:tab/>
      </w:r>
      <w:r w:rsidR="0DD5678F" w:rsidRPr="00C07C37">
        <w:t>zapewnia</w:t>
      </w:r>
      <w:r w:rsidRPr="00C07C37">
        <w:t xml:space="preserve"> komunikację pomiędzy Platformą ePłatności a dostawcami usług płatniczych w celu realizacji usługi ePłatności</w:t>
      </w:r>
      <w:r w:rsidR="00BE5E8C" w:rsidRPr="00C07C37">
        <w:t>.</w:t>
      </w:r>
    </w:p>
    <w:p w14:paraId="48FC1A33" w14:textId="4CE4670F" w:rsidR="00BE5E8C" w:rsidRPr="00C07C37" w:rsidRDefault="00BE5E8C" w:rsidP="000B2CAE">
      <w:pPr>
        <w:pStyle w:val="USTustnpkodeksu"/>
        <w:rPr>
          <w:rStyle w:val="Ppogrubienie"/>
          <w:b w:val="0"/>
          <w:bCs w:val="0"/>
        </w:rPr>
      </w:pPr>
      <w:r w:rsidRPr="00C07C37">
        <w:t>2.</w:t>
      </w:r>
      <w:r w:rsidRPr="00C07C37">
        <w:tab/>
        <w:t>Minister właściwy do spraw informatyzacji może realizować zadania, o których mowa w ust. 1, przy pomocy jednostek mu podległych lub przez niego nadzorowanych.</w:t>
      </w:r>
    </w:p>
    <w:p w14:paraId="208478D3" w14:textId="5F60875A" w:rsidR="00911382" w:rsidRPr="00C07C37" w:rsidRDefault="007E58E9" w:rsidP="00911382">
      <w:pPr>
        <w:pStyle w:val="ARTartustawynprozporzdzenia"/>
      </w:pPr>
      <w:r w:rsidRPr="00C07C37">
        <w:rPr>
          <w:b/>
          <w:bCs/>
        </w:rPr>
        <w:t xml:space="preserve">Art. </w:t>
      </w:r>
      <w:r w:rsidR="00845DA7" w:rsidRPr="00C07C37">
        <w:rPr>
          <w:b/>
          <w:bCs/>
        </w:rPr>
        <w:t>7</w:t>
      </w:r>
      <w:r w:rsidR="00E10665" w:rsidRPr="00C07C37">
        <w:rPr>
          <w:b/>
          <w:bCs/>
        </w:rPr>
        <w:t>.</w:t>
      </w:r>
      <w:r w:rsidR="000831BD" w:rsidRPr="00C07C37">
        <w:rPr>
          <w:b/>
          <w:bCs/>
        </w:rPr>
        <w:tab/>
      </w:r>
      <w:r w:rsidR="00012595" w:rsidRPr="00C07C37">
        <w:rPr>
          <w:b/>
          <w:bCs/>
        </w:rPr>
        <w:t xml:space="preserve"> </w:t>
      </w:r>
      <w:r w:rsidR="002E16D4" w:rsidRPr="00C07C37">
        <w:t>1.</w:t>
      </w:r>
      <w:r w:rsidR="00012595" w:rsidRPr="00C07C37">
        <w:rPr>
          <w:b/>
          <w:bCs/>
        </w:rPr>
        <w:tab/>
      </w:r>
      <w:r w:rsidR="00911382" w:rsidRPr="00C07C37">
        <w:t>W Platformie ePłatności gromadzone są</w:t>
      </w:r>
      <w:r w:rsidR="00012595" w:rsidRPr="00C07C37">
        <w:t xml:space="preserve"> udostępnione przez podmiot publiczny</w:t>
      </w:r>
      <w:r w:rsidR="00911382" w:rsidRPr="00C07C37">
        <w:t xml:space="preserve"> następujące dane</w:t>
      </w:r>
      <w:r w:rsidR="00012595" w:rsidRPr="00C07C37">
        <w:t>, w tym dane</w:t>
      </w:r>
      <w:r w:rsidR="00911382" w:rsidRPr="00C07C37">
        <w:t xml:space="preserve"> osobowe:</w:t>
      </w:r>
    </w:p>
    <w:p w14:paraId="361D5336" w14:textId="7C1F80D0" w:rsidR="00911382" w:rsidRPr="00C07C37" w:rsidRDefault="008070A7" w:rsidP="024F37FA">
      <w:pPr>
        <w:pStyle w:val="PKTpunkt"/>
      </w:pPr>
      <w:r w:rsidRPr="00C07C37">
        <w:t>1)</w:t>
      </w:r>
      <w:r w:rsidRPr="00C07C37">
        <w:tab/>
      </w:r>
      <w:r w:rsidR="00911382" w:rsidRPr="00C07C37">
        <w:t>numer PESEL</w:t>
      </w:r>
      <w:r w:rsidR="00012595" w:rsidRPr="00C07C37">
        <w:t xml:space="preserve"> użytkownika usługi ePłatności</w:t>
      </w:r>
      <w:r w:rsidR="00911382" w:rsidRPr="00C07C37">
        <w:t>;</w:t>
      </w:r>
    </w:p>
    <w:p w14:paraId="310A1D0A" w14:textId="7F941374" w:rsidR="001B2126" w:rsidRPr="00C07C37" w:rsidRDefault="008070A7" w:rsidP="008070A7">
      <w:pPr>
        <w:pStyle w:val="PKTpunkt"/>
      </w:pPr>
      <w:r w:rsidRPr="00C07C37">
        <w:t>2)</w:t>
      </w:r>
      <w:r w:rsidRPr="00C07C37">
        <w:tab/>
      </w:r>
      <w:r w:rsidR="001B3F33" w:rsidRPr="00C07C37">
        <w:t>u</w:t>
      </w:r>
      <w:r w:rsidR="001B2126" w:rsidRPr="00C07C37">
        <w:t>nikalny identyfikator użytkow</w:t>
      </w:r>
      <w:r w:rsidR="000805FF">
        <w:t>nika</w:t>
      </w:r>
      <w:r w:rsidR="001B2126" w:rsidRPr="00C07C37">
        <w:t xml:space="preserve"> usługi ePłatności</w:t>
      </w:r>
      <w:r w:rsidR="001B3F33" w:rsidRPr="00C07C37">
        <w:t xml:space="preserve">, </w:t>
      </w:r>
      <w:r w:rsidR="003B1875" w:rsidRPr="00C07C37">
        <w:t>jeżeli</w:t>
      </w:r>
      <w:r w:rsidR="001B3F33" w:rsidRPr="00C07C37">
        <w:t xml:space="preserve"> został nadany;</w:t>
      </w:r>
    </w:p>
    <w:p w14:paraId="726A46A4" w14:textId="5E1874FD" w:rsidR="00012595" w:rsidRPr="00C07C37" w:rsidRDefault="003B1875" w:rsidP="000B2CAE">
      <w:pPr>
        <w:pStyle w:val="PKTpunkt"/>
      </w:pPr>
      <w:r w:rsidRPr="00C07C37">
        <w:t>3</w:t>
      </w:r>
      <w:r w:rsidR="00012595" w:rsidRPr="00C07C37">
        <w:t>)</w:t>
      </w:r>
      <w:r w:rsidR="00012595" w:rsidRPr="00C07C37">
        <w:tab/>
        <w:t>unikalny identyfikator należności;</w:t>
      </w:r>
    </w:p>
    <w:p w14:paraId="0EA5BFB8" w14:textId="46FBC843" w:rsidR="00012595" w:rsidRPr="00C07C37" w:rsidRDefault="003B1875" w:rsidP="000B2CAE">
      <w:pPr>
        <w:pStyle w:val="PKTpunkt"/>
      </w:pPr>
      <w:r w:rsidRPr="00C07C37">
        <w:t>4</w:t>
      </w:r>
      <w:r w:rsidR="00012595" w:rsidRPr="00C07C37">
        <w:t>)</w:t>
      </w:r>
      <w:r w:rsidR="00012595" w:rsidRPr="00C07C37">
        <w:tab/>
        <w:t>indywidualny numer rachunku bankowego przypisany do należności lub użytkownika usługi ePłatności</w:t>
      </w:r>
      <w:r w:rsidRPr="00C07C37">
        <w:t xml:space="preserve">, jeżeli użytkownik usługi ePłatności </w:t>
      </w:r>
      <w:r w:rsidR="009B3309">
        <w:t xml:space="preserve">go </w:t>
      </w:r>
      <w:r w:rsidRPr="00C07C37">
        <w:t>posiada</w:t>
      </w:r>
      <w:r w:rsidR="00012595" w:rsidRPr="00C07C37">
        <w:t>;</w:t>
      </w:r>
    </w:p>
    <w:p w14:paraId="07B8B769" w14:textId="0326A29D" w:rsidR="00012595" w:rsidRPr="00C07C37" w:rsidRDefault="003B1875" w:rsidP="000B2CAE">
      <w:pPr>
        <w:pStyle w:val="PKTpunkt"/>
      </w:pPr>
      <w:r w:rsidRPr="00C07C37">
        <w:t>5</w:t>
      </w:r>
      <w:r w:rsidR="00012595" w:rsidRPr="00C07C37">
        <w:t>)</w:t>
      </w:r>
      <w:r w:rsidR="00012595" w:rsidRPr="00C07C37">
        <w:tab/>
        <w:t>data powstania należności;</w:t>
      </w:r>
    </w:p>
    <w:p w14:paraId="5460E826" w14:textId="7C3903B9" w:rsidR="00012595" w:rsidRPr="00C07C37" w:rsidRDefault="003B1875" w:rsidP="000B2CAE">
      <w:pPr>
        <w:pStyle w:val="PKTpunkt"/>
      </w:pPr>
      <w:r w:rsidRPr="00C07C37">
        <w:t>6</w:t>
      </w:r>
      <w:r w:rsidR="00012595" w:rsidRPr="00C07C37">
        <w:t>)</w:t>
      </w:r>
      <w:r w:rsidR="00012595" w:rsidRPr="00C07C37">
        <w:tab/>
        <w:t>data, do której należy uregulować należność;</w:t>
      </w:r>
    </w:p>
    <w:p w14:paraId="13B18053" w14:textId="3250D43C" w:rsidR="00012595" w:rsidRPr="00C07C37" w:rsidRDefault="003B1875" w:rsidP="000B2CAE">
      <w:pPr>
        <w:pStyle w:val="PKTpunkt"/>
      </w:pPr>
      <w:r w:rsidRPr="00C07C37">
        <w:t>7</w:t>
      </w:r>
      <w:r w:rsidR="00012595" w:rsidRPr="00C07C37">
        <w:t>)</w:t>
      </w:r>
      <w:r w:rsidR="00012595" w:rsidRPr="00C07C37">
        <w:tab/>
        <w:t>tytuł należności;</w:t>
      </w:r>
    </w:p>
    <w:p w14:paraId="327E1055" w14:textId="07F924E9" w:rsidR="00012595" w:rsidRPr="00C07C37" w:rsidRDefault="003B1875">
      <w:pPr>
        <w:pStyle w:val="PKTpunkt"/>
      </w:pPr>
      <w:r w:rsidRPr="00C07C37">
        <w:t>8</w:t>
      </w:r>
      <w:r w:rsidR="00012595" w:rsidRPr="00C07C37">
        <w:t>)</w:t>
      </w:r>
      <w:r w:rsidR="00012595" w:rsidRPr="00C07C37">
        <w:tab/>
        <w:t>kwota należności</w:t>
      </w:r>
      <w:r w:rsidR="006B44BC" w:rsidRPr="00C07C37">
        <w:t>.</w:t>
      </w:r>
    </w:p>
    <w:p w14:paraId="0A35518D" w14:textId="7C09B650" w:rsidR="006B44BC" w:rsidRPr="00C07C37" w:rsidRDefault="006B44BC" w:rsidP="000B2CAE">
      <w:pPr>
        <w:pStyle w:val="USTustnpkodeksu"/>
      </w:pPr>
      <w:r w:rsidRPr="00C07C37">
        <w:t>2.</w:t>
      </w:r>
      <w:r w:rsidR="006D53A8" w:rsidRPr="00C07C37">
        <w:tab/>
      </w:r>
      <w:r w:rsidRPr="00C07C37">
        <w:t>W Platformie ePłatności gromadzone są również:</w:t>
      </w:r>
    </w:p>
    <w:p w14:paraId="39FEAAAF" w14:textId="23F1894F" w:rsidR="006B44BC" w:rsidRPr="00C07C37" w:rsidRDefault="006B44BC" w:rsidP="00351C7D">
      <w:pPr>
        <w:pStyle w:val="PKTpunkt"/>
      </w:pPr>
      <w:r w:rsidRPr="00C07C37">
        <w:t>1)</w:t>
      </w:r>
      <w:r w:rsidRPr="00C07C37">
        <w:tab/>
        <w:t>imię (imiona) i nazwisko</w:t>
      </w:r>
      <w:r w:rsidR="429CE617" w:rsidRPr="00C07C37">
        <w:t xml:space="preserve"> oraz data urodzenia</w:t>
      </w:r>
      <w:r w:rsidRPr="00C07C37">
        <w:t xml:space="preserve"> </w:t>
      </w:r>
      <w:r w:rsidR="009B3309" w:rsidRPr="00C07C37">
        <w:t>użytkow</w:t>
      </w:r>
      <w:r w:rsidR="009B3309">
        <w:t>nika</w:t>
      </w:r>
      <w:r w:rsidR="009B3309" w:rsidRPr="00C07C37">
        <w:t xml:space="preserve"> </w:t>
      </w:r>
      <w:r w:rsidRPr="00C07C37">
        <w:t>usługi ePłatności</w:t>
      </w:r>
      <w:r w:rsidR="002F66D4">
        <w:t>;</w:t>
      </w:r>
    </w:p>
    <w:p w14:paraId="49995C82" w14:textId="7BF6B388" w:rsidR="006B44BC" w:rsidRPr="00C07C37" w:rsidRDefault="5E75C20C" w:rsidP="00351C7D">
      <w:pPr>
        <w:pStyle w:val="PKTpunkt"/>
      </w:pPr>
      <w:r w:rsidRPr="00C07C37">
        <w:t>2)</w:t>
      </w:r>
      <w:r w:rsidR="006B44BC" w:rsidRPr="00C07C37">
        <w:tab/>
      </w:r>
      <w:r w:rsidRPr="00C07C37">
        <w:t>imię (imiona) i nazwisko oraz numer PESEL</w:t>
      </w:r>
      <w:r w:rsidR="656E7E3F" w:rsidRPr="00C07C37">
        <w:t xml:space="preserve"> </w:t>
      </w:r>
      <w:r w:rsidRPr="00C07C37">
        <w:t>osoby</w:t>
      </w:r>
      <w:r w:rsidR="411AC134" w:rsidRPr="00C07C37">
        <w:t>,</w:t>
      </w:r>
      <w:r w:rsidRPr="00C07C37">
        <w:t xml:space="preserve"> na rzecz której dokonywana jest płatność </w:t>
      </w:r>
      <w:r w:rsidR="5A8374BA" w:rsidRPr="00C07C37">
        <w:t xml:space="preserve">– </w:t>
      </w:r>
      <w:r w:rsidRPr="00C07C37">
        <w:t xml:space="preserve">jeżeli </w:t>
      </w:r>
      <w:r w:rsidR="46751048" w:rsidRPr="00C07C37">
        <w:t>płatność dokonywana jest na rzecz innej osoby niż użytkownik usługi ePłatności</w:t>
      </w:r>
      <w:r w:rsidR="006B44BC" w:rsidRPr="00C07C37">
        <w:t>;</w:t>
      </w:r>
    </w:p>
    <w:p w14:paraId="77C22602" w14:textId="2EC6BDBB" w:rsidR="006B44BC" w:rsidRPr="00C07C37" w:rsidRDefault="18DA480D" w:rsidP="00351C7D">
      <w:pPr>
        <w:pStyle w:val="PKTpunkt"/>
      </w:pPr>
      <w:r w:rsidRPr="00C07C37">
        <w:t>3</w:t>
      </w:r>
      <w:r w:rsidR="006B44BC" w:rsidRPr="00C07C37">
        <w:t>)</w:t>
      </w:r>
      <w:r w:rsidR="006B44BC" w:rsidRPr="00C07C37">
        <w:tab/>
        <w:t>firm</w:t>
      </w:r>
      <w:r w:rsidR="002C044B" w:rsidRPr="00C07C37">
        <w:t>a</w:t>
      </w:r>
      <w:r w:rsidR="006B44BC" w:rsidRPr="00C07C37">
        <w:t xml:space="preserve"> </w:t>
      </w:r>
      <w:r w:rsidR="00351C7D" w:rsidRPr="00C07C37">
        <w:t>–</w:t>
      </w:r>
      <w:r w:rsidR="006B44BC" w:rsidRPr="00C07C37">
        <w:t xml:space="preserve"> w przypadku osoby fizycznej będącej przedsiębiorcą;</w:t>
      </w:r>
    </w:p>
    <w:p w14:paraId="33CF3190" w14:textId="19698747" w:rsidR="006B44BC" w:rsidRPr="00C07C37" w:rsidRDefault="6AA0149C" w:rsidP="00351C7D">
      <w:pPr>
        <w:pStyle w:val="PKTpunkt"/>
      </w:pPr>
      <w:r w:rsidRPr="00C07C37">
        <w:t>4</w:t>
      </w:r>
      <w:r w:rsidR="006B44BC" w:rsidRPr="00C07C37">
        <w:t>)</w:t>
      </w:r>
      <w:r w:rsidR="006B44BC" w:rsidRPr="00C07C37">
        <w:tab/>
        <w:t>status płatności należności</w:t>
      </w:r>
      <w:r w:rsidR="00351C7D" w:rsidRPr="00C07C37">
        <w:t>.</w:t>
      </w:r>
    </w:p>
    <w:p w14:paraId="658EF841" w14:textId="4639D846" w:rsidR="00911382" w:rsidRPr="00C07C37" w:rsidRDefault="00FA25E2" w:rsidP="00BF5633">
      <w:pPr>
        <w:pStyle w:val="USTustnpkodeksu"/>
      </w:pPr>
      <w:r w:rsidRPr="00C07C37">
        <w:t>3</w:t>
      </w:r>
      <w:r w:rsidR="00911382" w:rsidRPr="00C07C37">
        <w:t xml:space="preserve">. Minister właściwy do spraw informatyzacji jest administratorem danych osobowych </w:t>
      </w:r>
      <w:r w:rsidRPr="00C07C37">
        <w:t xml:space="preserve">gromadzonych w Platformie ePłatności. </w:t>
      </w:r>
    </w:p>
    <w:p w14:paraId="0EBD056F" w14:textId="042D60DD" w:rsidR="00FA25E2" w:rsidRPr="00C07C37" w:rsidRDefault="001C4B5A" w:rsidP="00911382">
      <w:pPr>
        <w:pStyle w:val="USTustnpkodeksu"/>
      </w:pPr>
      <w:r w:rsidRPr="00C07C37">
        <w:lastRenderedPageBreak/>
        <w:t>4</w:t>
      </w:r>
      <w:r w:rsidR="00911382" w:rsidRPr="00C07C37">
        <w:t xml:space="preserve">. </w:t>
      </w:r>
      <w:r w:rsidR="00FA25E2" w:rsidRPr="00C07C37">
        <w:t>Minister właściwy do spraw informatyzacji przetwarza dane użytkowników usługi ePłatności</w:t>
      </w:r>
      <w:r w:rsidRPr="00C07C37">
        <w:t xml:space="preserve"> przed okres 5 lat od dnia ich udostępnienia przez podmiot publiczny albo od dnia realizacji płatności należności na rzecz podmiotu publicznego</w:t>
      </w:r>
      <w:r w:rsidR="009B3309">
        <w:t>,</w:t>
      </w:r>
      <w:r w:rsidRPr="00C07C37">
        <w:t xml:space="preserve"> w zależności od tego który termin jest wcześniejszy. </w:t>
      </w:r>
    </w:p>
    <w:p w14:paraId="0692F3DA" w14:textId="7FE4D885" w:rsidR="00156BF8" w:rsidRPr="00C67281" w:rsidRDefault="00911382" w:rsidP="000831BD">
      <w:pPr>
        <w:pStyle w:val="ARTartustawynprozporzdzenia"/>
      </w:pPr>
      <w:r w:rsidRPr="00C67281">
        <w:rPr>
          <w:b/>
          <w:bCs/>
        </w:rPr>
        <w:t xml:space="preserve">Art. 8. </w:t>
      </w:r>
      <w:r w:rsidR="00156BF8" w:rsidRPr="00C67281">
        <w:rPr>
          <w:rStyle w:val="Ppogrubienie"/>
          <w:b w:val="0"/>
          <w:bCs/>
        </w:rPr>
        <w:t>Minister</w:t>
      </w:r>
      <w:r w:rsidR="00156BF8" w:rsidRPr="00C67281">
        <w:rPr>
          <w:bCs/>
        </w:rPr>
        <w:t xml:space="preserve"> </w:t>
      </w:r>
      <w:r w:rsidR="00156BF8" w:rsidRPr="00C67281">
        <w:t xml:space="preserve">właściwy do spraw informatyzacji </w:t>
      </w:r>
      <w:r w:rsidR="00292462" w:rsidRPr="00C67281">
        <w:t>udostępnia</w:t>
      </w:r>
      <w:r w:rsidR="00156BF8" w:rsidRPr="00C67281">
        <w:t xml:space="preserve"> usługę </w:t>
      </w:r>
      <w:r w:rsidR="000831BD" w:rsidRPr="00C67281">
        <w:t>ePłatności</w:t>
      </w:r>
      <w:r w:rsidR="00292462" w:rsidRPr="00C67281">
        <w:t xml:space="preserve"> podmiot</w:t>
      </w:r>
      <w:r w:rsidR="00BE5E8C" w:rsidRPr="00C67281">
        <w:t>om</w:t>
      </w:r>
      <w:r w:rsidR="00292462" w:rsidRPr="00C67281">
        <w:t xml:space="preserve"> publiczny</w:t>
      </w:r>
      <w:r w:rsidR="00BE5E8C" w:rsidRPr="00C67281">
        <w:t>m</w:t>
      </w:r>
      <w:r w:rsidR="00CE1915" w:rsidRPr="00C67281">
        <w:t xml:space="preserve">, których system teleinformatyczny jest zintegrowany z </w:t>
      </w:r>
      <w:r w:rsidR="00525DEB" w:rsidRPr="00C67281">
        <w:t>Platformą</w:t>
      </w:r>
      <w:r w:rsidR="00CB37DB" w:rsidRPr="00C67281">
        <w:t xml:space="preserve"> ePłatności</w:t>
      </w:r>
      <w:r w:rsidR="00CE1915" w:rsidRPr="00C67281">
        <w:t>.</w:t>
      </w:r>
      <w:r w:rsidR="00351C7D" w:rsidRPr="00C67281" w:rsidDel="00351C7D">
        <w:t xml:space="preserve"> </w:t>
      </w:r>
    </w:p>
    <w:p w14:paraId="4B12EDBA" w14:textId="73038075" w:rsidR="00D95B06" w:rsidRPr="00C67281" w:rsidRDefault="0041240A" w:rsidP="002C044B">
      <w:pPr>
        <w:pStyle w:val="USTustnpkodeksu"/>
      </w:pPr>
      <w:r w:rsidRPr="00C67281">
        <w:t>2</w:t>
      </w:r>
      <w:r w:rsidR="00E10665" w:rsidRPr="00C67281">
        <w:t>.</w:t>
      </w:r>
      <w:r w:rsidR="000831BD" w:rsidRPr="00C67281">
        <w:tab/>
      </w:r>
      <w:r w:rsidR="00E10665" w:rsidRPr="00C67281">
        <w:t>Podmioty publiczne przekazują ministrowi właściwemu do spraw informatyzacji dane niezbędne do świadczenia usługi</w:t>
      </w:r>
      <w:r w:rsidR="00381EAF" w:rsidRPr="00C67281">
        <w:t xml:space="preserve"> e</w:t>
      </w:r>
      <w:r w:rsidR="00817C4D" w:rsidRPr="00C67281">
        <w:t>P</w:t>
      </w:r>
      <w:r w:rsidR="00381EAF" w:rsidRPr="00C67281">
        <w:t>łatności</w:t>
      </w:r>
      <w:r w:rsidR="009A5628" w:rsidRPr="00C67281">
        <w:t>,</w:t>
      </w:r>
      <w:r w:rsidR="00381EAF" w:rsidRPr="00C67281" w:rsidDel="00381EAF">
        <w:t xml:space="preserve"> </w:t>
      </w:r>
      <w:r w:rsidR="00E10665" w:rsidRPr="00C67281">
        <w:t>w tym</w:t>
      </w:r>
      <w:r w:rsidR="00D95B06" w:rsidRPr="00C67281">
        <w:t xml:space="preserve"> dane</w:t>
      </w:r>
      <w:r w:rsidR="004D57D4" w:rsidRPr="00C67281">
        <w:t xml:space="preserve"> </w:t>
      </w:r>
      <w:r w:rsidR="00E10665" w:rsidRPr="00C67281">
        <w:t xml:space="preserve">osobowe </w:t>
      </w:r>
      <w:r w:rsidR="004B40C9" w:rsidRPr="00C67281">
        <w:t>użytkownik</w:t>
      </w:r>
      <w:r w:rsidR="000831BD" w:rsidRPr="00C67281">
        <w:t>a</w:t>
      </w:r>
      <w:r w:rsidR="004B40C9" w:rsidRPr="00C67281">
        <w:t xml:space="preserve"> usługi </w:t>
      </w:r>
      <w:r w:rsidR="009B2FA7" w:rsidRPr="00C67281">
        <w:t>ePłatności</w:t>
      </w:r>
      <w:r w:rsidR="00E45B31" w:rsidRPr="00C67281">
        <w:t xml:space="preserve"> </w:t>
      </w:r>
      <w:r w:rsidR="00E10665" w:rsidRPr="00C67281">
        <w:t xml:space="preserve">oraz dane dotyczące </w:t>
      </w:r>
      <w:r w:rsidR="004D57D4" w:rsidRPr="00C67281">
        <w:t>należności.</w:t>
      </w:r>
    </w:p>
    <w:p w14:paraId="07F4B3A5" w14:textId="6EBB4C0A" w:rsidR="00292462" w:rsidRPr="00C67281" w:rsidRDefault="0041240A" w:rsidP="002C044B">
      <w:pPr>
        <w:pStyle w:val="USTustnpkodeksu"/>
      </w:pPr>
      <w:r w:rsidRPr="00C67281">
        <w:t>3</w:t>
      </w:r>
      <w:r w:rsidR="00254FC7" w:rsidRPr="00C67281">
        <w:t>.</w:t>
      </w:r>
      <w:r w:rsidR="0091687F" w:rsidRPr="00C67281">
        <w:tab/>
      </w:r>
      <w:r w:rsidR="00254FC7" w:rsidRPr="00C67281">
        <w:t>Minister właściwy do spraw informatyzacji udostępnia dane niezbędne do świadczenia usługi ePłatności dostawcom usług płatniczych</w:t>
      </w:r>
      <w:r w:rsidR="005C0979" w:rsidRPr="00C67281">
        <w:t>, organizacjom płatniczym i podmiotom prowadzącym systemy płatności</w:t>
      </w:r>
      <w:r w:rsidR="00254FC7" w:rsidRPr="00C67281">
        <w:t xml:space="preserve"> w rozumieniu ustawy z dnia 19 sierpnia 2011 r. o usługach płatniczych</w:t>
      </w:r>
      <w:r w:rsidR="00E90CF6" w:rsidRPr="00C67281">
        <w:t>.</w:t>
      </w:r>
    </w:p>
    <w:p w14:paraId="10E721D9" w14:textId="2D588E67" w:rsidR="00934E97" w:rsidRPr="00C67281" w:rsidRDefault="00934E97" w:rsidP="00D967F6">
      <w:pPr>
        <w:pStyle w:val="ARTartustawynprozporzdzenia"/>
      </w:pPr>
      <w:r w:rsidRPr="00C67281">
        <w:rPr>
          <w:rStyle w:val="Ppogrubienie"/>
        </w:rPr>
        <w:t xml:space="preserve">Art. </w:t>
      </w:r>
      <w:r w:rsidR="00BF5633" w:rsidRPr="00C67281">
        <w:rPr>
          <w:rStyle w:val="Ppogrubienie"/>
        </w:rPr>
        <w:t>9</w:t>
      </w:r>
      <w:r w:rsidRPr="00C67281">
        <w:rPr>
          <w:rStyle w:val="Ppogrubienie"/>
        </w:rPr>
        <w:t>.</w:t>
      </w:r>
      <w:r w:rsidR="009352AB" w:rsidRPr="00C67281">
        <w:rPr>
          <w:rStyle w:val="Ppogrubienie"/>
        </w:rPr>
        <w:t xml:space="preserve"> </w:t>
      </w:r>
      <w:r w:rsidR="00B7577B" w:rsidRPr="00C67281">
        <w:t>1.</w:t>
      </w:r>
      <w:r w:rsidR="009352AB" w:rsidRPr="00C67281">
        <w:tab/>
      </w:r>
      <w:r w:rsidRPr="00C67281">
        <w:t>Minister właściwy do spraw informatyzacji określ</w:t>
      </w:r>
      <w:r w:rsidR="00B121B6" w:rsidRPr="00C67281">
        <w:t xml:space="preserve">i </w:t>
      </w:r>
      <w:bookmarkStart w:id="5" w:name="_Hlk208989780"/>
      <w:r w:rsidR="00B121B6" w:rsidRPr="00C67281">
        <w:t xml:space="preserve">w Biuletynie Informacji Publicznej na swojej stronie podmiotowej </w:t>
      </w:r>
      <w:bookmarkEnd w:id="5"/>
      <w:r w:rsidRPr="00C67281">
        <w:t xml:space="preserve">ogólne warunki </w:t>
      </w:r>
      <w:r w:rsidR="00651455" w:rsidRPr="00C67281">
        <w:t>świadczenia</w:t>
      </w:r>
      <w:r w:rsidRPr="00C67281">
        <w:t xml:space="preserve"> usługi</w:t>
      </w:r>
      <w:r w:rsidR="009352AB" w:rsidRPr="00C67281">
        <w:t xml:space="preserve"> e</w:t>
      </w:r>
      <w:r w:rsidR="00817C4D" w:rsidRPr="00C67281">
        <w:t>P</w:t>
      </w:r>
      <w:r w:rsidR="009352AB" w:rsidRPr="00C67281">
        <w:t>łatności,</w:t>
      </w:r>
      <w:r w:rsidR="001275E7" w:rsidRPr="00C67281">
        <w:t xml:space="preserve"> zwane dalej „ogólnymi warunkami”,</w:t>
      </w:r>
      <w:r w:rsidRPr="00C67281">
        <w:t xml:space="preserve"> zawierające:</w:t>
      </w:r>
    </w:p>
    <w:p w14:paraId="3AA95D97" w14:textId="14939886" w:rsidR="00D52484" w:rsidRPr="00C67281" w:rsidRDefault="00D52484" w:rsidP="00D52484">
      <w:pPr>
        <w:pStyle w:val="PKTpunkt"/>
      </w:pPr>
      <w:r w:rsidRPr="00C67281">
        <w:rPr>
          <w:bCs w:val="0"/>
        </w:rPr>
        <w:t>1)</w:t>
      </w:r>
      <w:r w:rsidRPr="00C67281">
        <w:tab/>
      </w:r>
      <w:r w:rsidR="00934E97" w:rsidRPr="00C67281">
        <w:t xml:space="preserve">warunki </w:t>
      </w:r>
      <w:r w:rsidR="00CE1915" w:rsidRPr="00C67281">
        <w:t xml:space="preserve">organizacyjne i techniczne </w:t>
      </w:r>
      <w:r w:rsidR="00651455" w:rsidRPr="00C67281">
        <w:t>świadczenia</w:t>
      </w:r>
      <w:r w:rsidR="00934E97" w:rsidRPr="00C67281">
        <w:t xml:space="preserve"> usługi</w:t>
      </w:r>
      <w:r w:rsidR="009352AB" w:rsidRPr="00C67281">
        <w:t xml:space="preserve"> e</w:t>
      </w:r>
      <w:r w:rsidR="00817C4D" w:rsidRPr="00C67281">
        <w:t>P</w:t>
      </w:r>
      <w:r w:rsidR="009352AB" w:rsidRPr="00C67281">
        <w:t>łatności</w:t>
      </w:r>
      <w:r w:rsidR="00110F6F" w:rsidRPr="00C67281">
        <w:t>, w szczególności warunki służące zapewnieniu cyberbezpieczeństwa</w:t>
      </w:r>
      <w:r w:rsidR="009B2FA7" w:rsidRPr="00C67281">
        <w:t>;</w:t>
      </w:r>
    </w:p>
    <w:p w14:paraId="5DAADB19" w14:textId="183150D1" w:rsidR="00CE1915" w:rsidRPr="00C67281" w:rsidRDefault="00D52484" w:rsidP="00D52484">
      <w:pPr>
        <w:pStyle w:val="PKTpunkt"/>
      </w:pPr>
      <w:r w:rsidRPr="00C67281">
        <w:t>2)</w:t>
      </w:r>
      <w:r w:rsidRPr="00C67281">
        <w:tab/>
        <w:t>sposób wdrożenia usługi ePłatności przez podmiot publiczny</w:t>
      </w:r>
      <w:r w:rsidR="00204F44" w:rsidRPr="00C67281">
        <w:t>;</w:t>
      </w:r>
      <w:r w:rsidRPr="00C67281">
        <w:t xml:space="preserve"> </w:t>
      </w:r>
    </w:p>
    <w:p w14:paraId="27C4C568" w14:textId="22610210" w:rsidR="00934E97" w:rsidRPr="00C67281" w:rsidRDefault="00D52484" w:rsidP="00D967F6">
      <w:pPr>
        <w:pStyle w:val="PKTpunkt"/>
      </w:pPr>
      <w:r w:rsidRPr="00C67281">
        <w:t>3)</w:t>
      </w:r>
      <w:r w:rsidRPr="00C67281">
        <w:tab/>
      </w:r>
      <w:r w:rsidR="00934E97" w:rsidRPr="00C67281">
        <w:t xml:space="preserve">zakres danych </w:t>
      </w:r>
      <w:r w:rsidR="6C1A9118" w:rsidRPr="00C67281">
        <w:t xml:space="preserve">nieosobowych </w:t>
      </w:r>
      <w:r w:rsidR="00B21798" w:rsidRPr="00C67281">
        <w:t xml:space="preserve">przekazywanych </w:t>
      </w:r>
      <w:r w:rsidR="00934E97" w:rsidRPr="00C67281">
        <w:t>w ramach usługi</w:t>
      </w:r>
      <w:r w:rsidR="009352AB" w:rsidRPr="00C67281">
        <w:t xml:space="preserve"> e</w:t>
      </w:r>
      <w:r w:rsidR="00595ECA" w:rsidRPr="00C67281">
        <w:t>P</w:t>
      </w:r>
      <w:r w:rsidR="009352AB" w:rsidRPr="00C67281">
        <w:t>łatności</w:t>
      </w:r>
      <w:r w:rsidR="00184DD4" w:rsidRPr="00C67281">
        <w:t xml:space="preserve"> innych niż określone w art. </w:t>
      </w:r>
      <w:r w:rsidR="006D53A8" w:rsidRPr="00C67281">
        <w:t>7</w:t>
      </w:r>
      <w:r w:rsidR="00934E97" w:rsidRPr="00C67281">
        <w:t>;</w:t>
      </w:r>
    </w:p>
    <w:p w14:paraId="42D5FA2D" w14:textId="520E629A" w:rsidR="00934E97" w:rsidRPr="00C67281" w:rsidRDefault="00D52484" w:rsidP="00D967F6">
      <w:pPr>
        <w:pStyle w:val="PKTpunkt"/>
      </w:pPr>
      <w:r w:rsidRPr="00C67281">
        <w:t>4)</w:t>
      </w:r>
      <w:r w:rsidRPr="00C67281">
        <w:tab/>
      </w:r>
      <w:r w:rsidR="00934E97" w:rsidRPr="00C67281">
        <w:t xml:space="preserve">sposób potwierdzenia spełniania </w:t>
      </w:r>
      <w:r w:rsidR="001275E7" w:rsidRPr="00C67281">
        <w:t xml:space="preserve">przez podmiot publiczny </w:t>
      </w:r>
      <w:r w:rsidR="00934E97" w:rsidRPr="00C67281">
        <w:t xml:space="preserve">warunków, o których mowa w pkt </w:t>
      </w:r>
      <w:r w:rsidR="00E33FC7" w:rsidRPr="00C67281">
        <w:t>1</w:t>
      </w:r>
      <w:r w:rsidR="00E95114" w:rsidRPr="00C67281">
        <w:t>.</w:t>
      </w:r>
    </w:p>
    <w:p w14:paraId="25EB708F" w14:textId="7E98DEF9" w:rsidR="00934E97" w:rsidRPr="00C67281" w:rsidRDefault="00E33FC7" w:rsidP="00845DA7">
      <w:pPr>
        <w:pStyle w:val="USTustnpkodeksu"/>
      </w:pPr>
      <w:r w:rsidRPr="00C67281">
        <w:t>2</w:t>
      </w:r>
      <w:r w:rsidR="00934E97" w:rsidRPr="00C67281">
        <w:t>.</w:t>
      </w:r>
      <w:r w:rsidR="00845DA7" w:rsidRPr="00C67281">
        <w:tab/>
      </w:r>
      <w:r w:rsidR="00934E97" w:rsidRPr="00C67281">
        <w:t xml:space="preserve">W celu </w:t>
      </w:r>
      <w:r w:rsidR="00651455" w:rsidRPr="00C67281">
        <w:t>świadczenia</w:t>
      </w:r>
      <w:r w:rsidR="00934E97" w:rsidRPr="00C67281">
        <w:t xml:space="preserve"> usługi </w:t>
      </w:r>
      <w:r w:rsidR="009352AB" w:rsidRPr="00C67281">
        <w:t>e</w:t>
      </w:r>
      <w:r w:rsidR="00817C4D" w:rsidRPr="00C67281">
        <w:t>P</w:t>
      </w:r>
      <w:r w:rsidR="009352AB" w:rsidRPr="00C67281">
        <w:t>łatności</w:t>
      </w:r>
      <w:r w:rsidR="009352AB" w:rsidRPr="00C67281" w:rsidDel="00381EAF">
        <w:t xml:space="preserve"> </w:t>
      </w:r>
      <w:r w:rsidR="00934E97" w:rsidRPr="00C67281">
        <w:t xml:space="preserve">podmiot publiczny </w:t>
      </w:r>
      <w:r w:rsidR="00845DA7" w:rsidRPr="00C67281">
        <w:t xml:space="preserve">przeprowadza analizę swoich systemów teleinformatycznych w zakresie dostosowania ich do </w:t>
      </w:r>
      <w:r w:rsidR="00651455" w:rsidRPr="00C67281">
        <w:t>świadczenia</w:t>
      </w:r>
      <w:r w:rsidR="00845DA7" w:rsidRPr="00C67281">
        <w:t xml:space="preserve"> usługi ePłatności oraz </w:t>
      </w:r>
      <w:r w:rsidR="00934E97" w:rsidRPr="00C67281">
        <w:t xml:space="preserve">składa do ministra właściwego do spraw informatyzacji wniosek, który zawiera </w:t>
      </w:r>
      <w:r w:rsidR="00845DA7" w:rsidRPr="00C67281">
        <w:t>wyniki tej analizy</w:t>
      </w:r>
      <w:r w:rsidR="000805FF">
        <w:t>,</w:t>
      </w:r>
      <w:r w:rsidR="00845DA7" w:rsidRPr="00C67281">
        <w:t xml:space="preserve"> oraz </w:t>
      </w:r>
      <w:r w:rsidR="00934E97" w:rsidRPr="00C67281">
        <w:t>co najmniej:</w:t>
      </w:r>
    </w:p>
    <w:p w14:paraId="5449DA1E" w14:textId="2CFB04C7" w:rsidR="00934E97" w:rsidRPr="00C67281" w:rsidRDefault="00934E97" w:rsidP="00D967F6">
      <w:pPr>
        <w:pStyle w:val="PKTpunkt"/>
      </w:pPr>
      <w:r w:rsidRPr="00C67281">
        <w:t>1)</w:t>
      </w:r>
      <w:r w:rsidR="00B7577B" w:rsidRPr="00C67281">
        <w:tab/>
      </w:r>
      <w:r w:rsidRPr="00C67281">
        <w:t>dane identyfikacyjne podmiotu</w:t>
      </w:r>
      <w:r w:rsidR="001275E7" w:rsidRPr="00C67281">
        <w:t xml:space="preserve"> publicznego</w:t>
      </w:r>
      <w:r w:rsidRPr="00C67281">
        <w:t>:</w:t>
      </w:r>
    </w:p>
    <w:p w14:paraId="30418545" w14:textId="5A1FFCCC" w:rsidR="00934E97" w:rsidRPr="00C67281" w:rsidRDefault="00934E97" w:rsidP="00D967F6">
      <w:pPr>
        <w:pStyle w:val="LITlitera"/>
      </w:pPr>
      <w:r w:rsidRPr="00C67281">
        <w:t>a)</w:t>
      </w:r>
      <w:r w:rsidR="009352AB" w:rsidRPr="00C67281">
        <w:tab/>
      </w:r>
      <w:r w:rsidRPr="00C67281">
        <w:t>nazwę (firmę),</w:t>
      </w:r>
    </w:p>
    <w:p w14:paraId="5CA26FC5" w14:textId="10746620" w:rsidR="00934E97" w:rsidRPr="00C67281" w:rsidRDefault="00934E97" w:rsidP="00D967F6">
      <w:pPr>
        <w:pStyle w:val="LITlitera"/>
      </w:pPr>
      <w:r w:rsidRPr="00C67281">
        <w:t>b)</w:t>
      </w:r>
      <w:r w:rsidR="009352AB" w:rsidRPr="00C67281">
        <w:tab/>
      </w:r>
      <w:r w:rsidRPr="00C67281">
        <w:t xml:space="preserve">numer </w:t>
      </w:r>
      <w:r w:rsidR="00473E85" w:rsidRPr="00C67281">
        <w:t xml:space="preserve">identyfikacyjny </w:t>
      </w:r>
      <w:r w:rsidRPr="00C67281">
        <w:t>REGON,</w:t>
      </w:r>
    </w:p>
    <w:p w14:paraId="5EA6D240" w14:textId="3F43FAE7" w:rsidR="00934E97" w:rsidRPr="00C67281" w:rsidRDefault="00934E97" w:rsidP="00D967F6">
      <w:pPr>
        <w:pStyle w:val="LITlitera"/>
      </w:pPr>
      <w:r w:rsidRPr="00C67281">
        <w:t>c)</w:t>
      </w:r>
      <w:r w:rsidR="009352AB" w:rsidRPr="00C67281">
        <w:tab/>
      </w:r>
      <w:r w:rsidR="00473E85" w:rsidRPr="00C67281">
        <w:t>numer identyfikacji podatkowej (</w:t>
      </w:r>
      <w:r w:rsidRPr="00C67281">
        <w:t>NIP</w:t>
      </w:r>
      <w:r w:rsidR="00473E85" w:rsidRPr="00C67281">
        <w:t>)</w:t>
      </w:r>
      <w:r w:rsidRPr="00C67281">
        <w:t>,</w:t>
      </w:r>
    </w:p>
    <w:p w14:paraId="40DCBA7D" w14:textId="6C0F6199" w:rsidR="00934E97" w:rsidRPr="00C67281" w:rsidRDefault="00934E97" w:rsidP="00D967F6">
      <w:pPr>
        <w:pStyle w:val="LITlitera"/>
      </w:pPr>
      <w:r w:rsidRPr="00C67281">
        <w:lastRenderedPageBreak/>
        <w:t>d)</w:t>
      </w:r>
      <w:r w:rsidR="009352AB" w:rsidRPr="00C67281">
        <w:tab/>
      </w:r>
      <w:r w:rsidRPr="00C67281">
        <w:t>numer KRS, jeżeli został nadany,</w:t>
      </w:r>
    </w:p>
    <w:p w14:paraId="6EEB340F" w14:textId="2520131C" w:rsidR="00934E97" w:rsidRPr="00C67281" w:rsidRDefault="00934E97" w:rsidP="00D967F6">
      <w:pPr>
        <w:pStyle w:val="LITlitera"/>
      </w:pPr>
      <w:r w:rsidRPr="00C67281">
        <w:t>e)</w:t>
      </w:r>
      <w:r w:rsidR="009352AB" w:rsidRPr="00C67281">
        <w:tab/>
      </w:r>
      <w:r w:rsidRPr="00C67281">
        <w:t>adres siedziby,</w:t>
      </w:r>
    </w:p>
    <w:p w14:paraId="50391DCE" w14:textId="75BBB41C" w:rsidR="00934E97" w:rsidRPr="00C67281" w:rsidRDefault="00934E97" w:rsidP="00D967F6">
      <w:pPr>
        <w:pStyle w:val="LITlitera"/>
      </w:pPr>
      <w:r w:rsidRPr="00C67281">
        <w:t>f)</w:t>
      </w:r>
      <w:r w:rsidR="009352AB" w:rsidRPr="00C67281">
        <w:tab/>
      </w:r>
      <w:r w:rsidRPr="00C67281">
        <w:t xml:space="preserve">adres </w:t>
      </w:r>
      <w:r w:rsidR="00172E76" w:rsidRPr="00C67281">
        <w:t xml:space="preserve">do doręczeń elektronicznych oraz adres </w:t>
      </w:r>
      <w:r w:rsidRPr="00C67281">
        <w:t>poczty elektronicznej,</w:t>
      </w:r>
    </w:p>
    <w:p w14:paraId="1DA4166B" w14:textId="3CF98358" w:rsidR="00A138F2" w:rsidRPr="00C67281" w:rsidRDefault="00934E97" w:rsidP="00D967F6">
      <w:pPr>
        <w:pStyle w:val="LITlitera"/>
      </w:pPr>
      <w:r w:rsidRPr="00C67281">
        <w:t>g)</w:t>
      </w:r>
      <w:r w:rsidR="009352AB" w:rsidRPr="00C67281">
        <w:tab/>
      </w:r>
      <w:r w:rsidRPr="00C67281">
        <w:t>numer telefonu</w:t>
      </w:r>
      <w:r w:rsidR="00A138F2" w:rsidRPr="00C67281">
        <w:t>,</w:t>
      </w:r>
    </w:p>
    <w:p w14:paraId="3A395981" w14:textId="21964DE5" w:rsidR="00934E97" w:rsidRPr="00C67281" w:rsidRDefault="00A138F2" w:rsidP="00D967F6">
      <w:pPr>
        <w:pStyle w:val="LITlitera"/>
      </w:pPr>
      <w:r w:rsidRPr="00C67281">
        <w:t>h)</w:t>
      </w:r>
      <w:r w:rsidRPr="00C67281">
        <w:tab/>
        <w:t>imię i nazwisko oraz stanowisko osoby reprezentującej podmiot publiczny</w:t>
      </w:r>
      <w:r w:rsidR="00204F44" w:rsidRPr="00C67281">
        <w:t>,</w:t>
      </w:r>
    </w:p>
    <w:p w14:paraId="75D78713" w14:textId="5375105B" w:rsidR="00A138F2" w:rsidRPr="00C67281" w:rsidRDefault="00A138F2" w:rsidP="00D967F6">
      <w:pPr>
        <w:pStyle w:val="LITlitera"/>
      </w:pPr>
      <w:r w:rsidRPr="00C67281">
        <w:t>i)</w:t>
      </w:r>
      <w:r w:rsidRPr="00C67281">
        <w:tab/>
        <w:t xml:space="preserve">imię i nazwisko oraz </w:t>
      </w:r>
      <w:r w:rsidR="00AE1E0A" w:rsidRPr="00C67281">
        <w:t xml:space="preserve">numer </w:t>
      </w:r>
      <w:r w:rsidRPr="00C67281">
        <w:t xml:space="preserve">PESEL </w:t>
      </w:r>
      <w:r w:rsidR="00AE1E0A" w:rsidRPr="00C67281">
        <w:t xml:space="preserve">osoby </w:t>
      </w:r>
      <w:r w:rsidRPr="00C67281">
        <w:t>odpowiedzialnej za kontakt w sprawach technicznych</w:t>
      </w:r>
      <w:r w:rsidR="00204F44" w:rsidRPr="00C67281">
        <w:t>;</w:t>
      </w:r>
    </w:p>
    <w:p w14:paraId="0AFD4C76" w14:textId="70AE54DE" w:rsidR="00934E97" w:rsidRPr="00C67281" w:rsidRDefault="008B5AE9" w:rsidP="00204F44">
      <w:pPr>
        <w:pStyle w:val="PKTpunkt"/>
      </w:pPr>
      <w:r w:rsidRPr="00C67281">
        <w:t>2</w:t>
      </w:r>
      <w:r w:rsidR="00934E97" w:rsidRPr="00C67281">
        <w:t>)</w:t>
      </w:r>
      <w:r w:rsidR="00204F44" w:rsidRPr="00C67281">
        <w:tab/>
      </w:r>
      <w:r w:rsidR="00934E97" w:rsidRPr="00C67281">
        <w:t>oświadczenie o zaakceptowaniu ogólnych warunków.</w:t>
      </w:r>
    </w:p>
    <w:p w14:paraId="326B0F47" w14:textId="59665BE9" w:rsidR="00934E97" w:rsidRPr="00C67281" w:rsidRDefault="00E33FC7" w:rsidP="00D967F6">
      <w:pPr>
        <w:pStyle w:val="USTustnpkodeksu"/>
      </w:pPr>
      <w:r w:rsidRPr="00C67281">
        <w:t>3</w:t>
      </w:r>
      <w:r w:rsidR="00934E97" w:rsidRPr="00C67281">
        <w:t>.</w:t>
      </w:r>
      <w:r w:rsidR="00E90CF6" w:rsidRPr="00C67281">
        <w:tab/>
      </w:r>
      <w:r w:rsidR="00934E97" w:rsidRPr="00C67281">
        <w:t>Wniosek składa się w postaci elektronicznej i opatruje się kwalifikowanym podpisem elektronicznym, podpisem osobistym albo podpisem zaufanym</w:t>
      </w:r>
      <w:r w:rsidR="001275E7" w:rsidRPr="00C67281">
        <w:t xml:space="preserve"> albo kwalifikowaną pieczęcią </w:t>
      </w:r>
      <w:r w:rsidR="00CB37DB" w:rsidRPr="00C67281">
        <w:t xml:space="preserve">elektroniczną </w:t>
      </w:r>
      <w:r w:rsidR="001275E7" w:rsidRPr="00C67281">
        <w:t>podmiotu publicznego</w:t>
      </w:r>
      <w:r w:rsidR="00934E97" w:rsidRPr="00C67281">
        <w:t>.</w:t>
      </w:r>
    </w:p>
    <w:p w14:paraId="5035EA6A" w14:textId="2B09F907" w:rsidR="00934E97" w:rsidRPr="00C67281" w:rsidRDefault="00E33FC7" w:rsidP="00D967F6">
      <w:pPr>
        <w:pStyle w:val="USTustnpkodeksu"/>
      </w:pPr>
      <w:r w:rsidRPr="00C67281">
        <w:t>4</w:t>
      </w:r>
      <w:r w:rsidR="00934E97" w:rsidRPr="00C67281">
        <w:t>.</w:t>
      </w:r>
      <w:r w:rsidR="00E90CF6" w:rsidRPr="00C67281">
        <w:tab/>
      </w:r>
      <w:r w:rsidR="00934E97" w:rsidRPr="00C67281">
        <w:t>Minister właściwy do spraw informatyzacji określa wzór dokumentu elektronicznego</w:t>
      </w:r>
      <w:r w:rsidR="00845781" w:rsidRPr="00C67281">
        <w:t>, o którym mowa w ust. 3</w:t>
      </w:r>
      <w:r w:rsidR="004A3A4C" w:rsidRPr="00C67281">
        <w:t xml:space="preserve">, i </w:t>
      </w:r>
      <w:r w:rsidR="00473E85" w:rsidRPr="00C67281">
        <w:t xml:space="preserve">udostępnia </w:t>
      </w:r>
      <w:r w:rsidR="009B3309" w:rsidRPr="00C67281">
        <w:t xml:space="preserve">go </w:t>
      </w:r>
      <w:r w:rsidR="00254778" w:rsidRPr="00C67281">
        <w:t>w Biuletynie Informacji Publicznej na swojej stronie podmiotowej</w:t>
      </w:r>
      <w:r w:rsidRPr="00C67281">
        <w:t>.</w:t>
      </w:r>
    </w:p>
    <w:p w14:paraId="52008670" w14:textId="49AEFB61" w:rsidR="00254778" w:rsidRPr="00C67281" w:rsidRDefault="00E33FC7" w:rsidP="00D967F6">
      <w:pPr>
        <w:pStyle w:val="USTustnpkodeksu"/>
      </w:pPr>
      <w:r w:rsidRPr="00C67281">
        <w:t>5</w:t>
      </w:r>
      <w:r w:rsidR="00934E97" w:rsidRPr="00C67281">
        <w:t>.</w:t>
      </w:r>
      <w:r w:rsidR="00CA1D00" w:rsidRPr="00C67281">
        <w:tab/>
      </w:r>
      <w:r w:rsidR="00254778" w:rsidRPr="00C67281">
        <w:rPr>
          <w:rFonts w:ascii="Times New Roman" w:hAnsi="Times New Roman" w:cs="Times New Roman"/>
        </w:rPr>
        <w:t>Jeżeli wniosek nie spełnia wymagań określonych w ust. 2 i 3 lub zawiera nieprawidłowe dane</w:t>
      </w:r>
      <w:r w:rsidR="000805FF">
        <w:rPr>
          <w:rFonts w:ascii="Times New Roman" w:hAnsi="Times New Roman" w:cs="Times New Roman"/>
        </w:rPr>
        <w:t>,</w:t>
      </w:r>
      <w:r w:rsidR="00254778" w:rsidRPr="00C67281">
        <w:rPr>
          <w:rFonts w:ascii="Times New Roman" w:hAnsi="Times New Roman" w:cs="Times New Roman"/>
        </w:rPr>
        <w:t xml:space="preserve"> minister właściwy do spraw informatyzacji zwraca wniosek wskazując jego braki, z pouczeniem</w:t>
      </w:r>
      <w:r w:rsidR="009B3309" w:rsidRPr="00C67281">
        <w:rPr>
          <w:rFonts w:ascii="Times New Roman" w:hAnsi="Times New Roman" w:cs="Times New Roman"/>
        </w:rPr>
        <w:t>,</w:t>
      </w:r>
      <w:r w:rsidR="00254778" w:rsidRPr="00C67281">
        <w:rPr>
          <w:rFonts w:ascii="Times New Roman" w:hAnsi="Times New Roman" w:cs="Times New Roman"/>
        </w:rPr>
        <w:t xml:space="preserve"> że usunięcie braków wymaga złożenia ponownego wniosku.</w:t>
      </w:r>
    </w:p>
    <w:p w14:paraId="3F6EB342" w14:textId="38A33FE2" w:rsidR="00934E97" w:rsidRPr="00C67281" w:rsidRDefault="00254778" w:rsidP="00D967F6">
      <w:pPr>
        <w:pStyle w:val="USTustnpkodeksu"/>
      </w:pPr>
      <w:r w:rsidRPr="00C67281">
        <w:t xml:space="preserve">6. </w:t>
      </w:r>
      <w:r w:rsidR="00934E97" w:rsidRPr="00C67281">
        <w:t xml:space="preserve">Minister właściwy do spraw informatyzacji wyraża zgodę na </w:t>
      </w:r>
      <w:r w:rsidR="00651455" w:rsidRPr="00135589">
        <w:t>świadczenie</w:t>
      </w:r>
      <w:r w:rsidR="00934E97" w:rsidRPr="00C67281">
        <w:t xml:space="preserve"> usługi </w:t>
      </w:r>
      <w:r w:rsidR="009352AB" w:rsidRPr="00C67281">
        <w:t>e</w:t>
      </w:r>
      <w:r w:rsidR="00CA1D00" w:rsidRPr="00C67281">
        <w:t>P</w:t>
      </w:r>
      <w:r w:rsidR="009352AB" w:rsidRPr="00C67281">
        <w:t>łatności</w:t>
      </w:r>
      <w:r w:rsidR="009352AB" w:rsidRPr="00C67281" w:rsidDel="00381EAF">
        <w:t xml:space="preserve"> </w:t>
      </w:r>
      <w:r w:rsidR="00934E97" w:rsidRPr="00C67281">
        <w:t>po spełnieniu przez podmiot publiczny warunków określonych w ogólnych warunkach. Wyrażenie zgody stanowi czynność materialno-techniczną.</w:t>
      </w:r>
    </w:p>
    <w:p w14:paraId="14DFC126" w14:textId="69D69FBC" w:rsidR="00934E97" w:rsidRPr="00C67281" w:rsidRDefault="00254778" w:rsidP="00D967F6">
      <w:pPr>
        <w:pStyle w:val="USTustnpkodeksu"/>
      </w:pPr>
      <w:r w:rsidRPr="00C67281">
        <w:t>7</w:t>
      </w:r>
      <w:r w:rsidR="00934E97" w:rsidRPr="00C67281">
        <w:t xml:space="preserve">. Minister właściwy do spraw informatyzacji odmawia, w drodze decyzji administracyjnej, </w:t>
      </w:r>
      <w:r w:rsidR="00651455" w:rsidRPr="00135589">
        <w:t>świadczenia</w:t>
      </w:r>
      <w:r w:rsidR="00934E97" w:rsidRPr="00C67281">
        <w:t xml:space="preserve"> usługi</w:t>
      </w:r>
      <w:r w:rsidR="009352AB" w:rsidRPr="00C67281">
        <w:t xml:space="preserve"> e</w:t>
      </w:r>
      <w:r w:rsidR="00817C4D" w:rsidRPr="00C67281">
        <w:t>P</w:t>
      </w:r>
      <w:r w:rsidR="009352AB" w:rsidRPr="00C67281">
        <w:t xml:space="preserve">łatności </w:t>
      </w:r>
      <w:r w:rsidR="00934E97" w:rsidRPr="00C67281">
        <w:t>w przypadku:</w:t>
      </w:r>
    </w:p>
    <w:p w14:paraId="67017DEF" w14:textId="2DD34A97" w:rsidR="00934E97" w:rsidRPr="00C67281" w:rsidRDefault="00934E97" w:rsidP="00D967F6">
      <w:pPr>
        <w:pStyle w:val="PKTpunkt"/>
      </w:pPr>
      <w:r w:rsidRPr="00C67281">
        <w:t>1)</w:t>
      </w:r>
      <w:r w:rsidR="00B7577B" w:rsidRPr="00C67281">
        <w:tab/>
      </w:r>
      <w:r w:rsidRPr="00C67281">
        <w:t>niespełniania przez podmiot publiczny</w:t>
      </w:r>
      <w:r w:rsidR="008B5AE9" w:rsidRPr="00C67281">
        <w:t xml:space="preserve"> </w:t>
      </w:r>
      <w:r w:rsidRPr="00C67281">
        <w:t>warunków określonych w ogólnych warunkach;</w:t>
      </w:r>
    </w:p>
    <w:p w14:paraId="01E474E7" w14:textId="648F9EDE" w:rsidR="00934E97" w:rsidRPr="00C67281" w:rsidRDefault="00934E97" w:rsidP="00D967F6">
      <w:pPr>
        <w:pStyle w:val="PKTpunkt"/>
      </w:pPr>
      <w:r w:rsidRPr="00C67281">
        <w:t>2)</w:t>
      </w:r>
      <w:r w:rsidR="00B7577B" w:rsidRPr="00C67281">
        <w:tab/>
      </w:r>
      <w:r w:rsidRPr="00C67281">
        <w:t>wystąpienia ryzyka naruszenia bezpieczeństwa</w:t>
      </w:r>
      <w:r w:rsidR="00B21798" w:rsidRPr="00C67281">
        <w:t xml:space="preserve"> </w:t>
      </w:r>
      <w:r w:rsidR="00D60B7D" w:rsidRPr="00C67281">
        <w:t xml:space="preserve">funkcjonowania Platformy ePłatności lub </w:t>
      </w:r>
      <w:r w:rsidR="00B21798" w:rsidRPr="00C67281">
        <w:t>usługi ePłatności</w:t>
      </w:r>
      <w:r w:rsidRPr="00C67281">
        <w:t>.</w:t>
      </w:r>
    </w:p>
    <w:p w14:paraId="062D172E" w14:textId="69BAD8F2" w:rsidR="00E33FC7" w:rsidRPr="00C67281" w:rsidRDefault="00254778" w:rsidP="00D967F6">
      <w:pPr>
        <w:pStyle w:val="USTustnpkodeksu"/>
      </w:pPr>
      <w:r w:rsidRPr="00C67281">
        <w:t>8</w:t>
      </w:r>
      <w:r w:rsidR="00E33FC7" w:rsidRPr="00C67281">
        <w:t>.</w:t>
      </w:r>
      <w:r w:rsidR="009A5628" w:rsidRPr="00C67281">
        <w:tab/>
      </w:r>
      <w:r w:rsidR="00E33FC7" w:rsidRPr="00C67281">
        <w:t xml:space="preserve">Minister właściwy do </w:t>
      </w:r>
      <w:r w:rsidR="0034556A" w:rsidRPr="00C67281">
        <w:t>s</w:t>
      </w:r>
      <w:r w:rsidR="00E33FC7" w:rsidRPr="00C67281">
        <w:t>praw informatyzacji cofa, w drodze decyzji</w:t>
      </w:r>
      <w:r w:rsidR="00CB37DB" w:rsidRPr="00C67281">
        <w:t xml:space="preserve"> administracyjnej</w:t>
      </w:r>
      <w:r w:rsidR="00E33FC7" w:rsidRPr="00C67281">
        <w:t>, zgodę n</w:t>
      </w:r>
      <w:r w:rsidR="008B5AE9" w:rsidRPr="00C67281">
        <w:t xml:space="preserve">a </w:t>
      </w:r>
      <w:r w:rsidR="00651455" w:rsidRPr="00135589">
        <w:t>świadczenie</w:t>
      </w:r>
      <w:r w:rsidR="00E33FC7" w:rsidRPr="00C67281">
        <w:t xml:space="preserve"> usługi </w:t>
      </w:r>
      <w:r w:rsidR="009352AB" w:rsidRPr="00C67281">
        <w:t>e</w:t>
      </w:r>
      <w:r w:rsidR="00817C4D" w:rsidRPr="00C67281">
        <w:t>P</w:t>
      </w:r>
      <w:r w:rsidR="009352AB" w:rsidRPr="00C67281">
        <w:t>łatności</w:t>
      </w:r>
      <w:r w:rsidR="009352AB" w:rsidRPr="00C67281" w:rsidDel="00381EAF">
        <w:t xml:space="preserve"> </w:t>
      </w:r>
      <w:r w:rsidR="00E33FC7" w:rsidRPr="00C67281">
        <w:t xml:space="preserve">w przypadku: </w:t>
      </w:r>
    </w:p>
    <w:p w14:paraId="0ADF010D" w14:textId="3AF49F87" w:rsidR="00E33FC7" w:rsidRPr="00C67281" w:rsidRDefault="00E33FC7" w:rsidP="00D967F6">
      <w:pPr>
        <w:pStyle w:val="PKTpunkt"/>
      </w:pPr>
      <w:r w:rsidRPr="00C67281">
        <w:t>1)</w:t>
      </w:r>
      <w:r w:rsidR="00B7577B" w:rsidRPr="00C67281">
        <w:tab/>
      </w:r>
      <w:r w:rsidRPr="00C67281">
        <w:t>naruszenia przez podmiot publiczny warunków określonych w ogólnych warunkach;</w:t>
      </w:r>
    </w:p>
    <w:p w14:paraId="51333DD8" w14:textId="39FEE607" w:rsidR="00E33FC7" w:rsidRPr="00C67281" w:rsidRDefault="00E33FC7" w:rsidP="00D967F6">
      <w:pPr>
        <w:pStyle w:val="PKTpunkt"/>
      </w:pPr>
      <w:r w:rsidRPr="00C67281">
        <w:t>2)</w:t>
      </w:r>
      <w:r w:rsidR="00B7577B" w:rsidRPr="00C67281">
        <w:tab/>
      </w:r>
      <w:r w:rsidRPr="00C67281">
        <w:t>wystąpienia ryzyka naruszenia bezpieczeństwa</w:t>
      </w:r>
      <w:r w:rsidR="00472614" w:rsidRPr="00C67281">
        <w:t xml:space="preserve"> </w:t>
      </w:r>
      <w:r w:rsidR="006F0215" w:rsidRPr="00C67281">
        <w:t xml:space="preserve">funkcjonowania Platformy ePłatności lub </w:t>
      </w:r>
      <w:r w:rsidR="00472614" w:rsidRPr="00C67281">
        <w:t>usługi e</w:t>
      </w:r>
      <w:r w:rsidR="00817C4D" w:rsidRPr="00C67281">
        <w:t>P</w:t>
      </w:r>
      <w:r w:rsidR="00472614" w:rsidRPr="00C67281">
        <w:t>łatności</w:t>
      </w:r>
      <w:r w:rsidRPr="00C67281">
        <w:t>.</w:t>
      </w:r>
    </w:p>
    <w:p w14:paraId="5CB79D9C" w14:textId="5DF11342" w:rsidR="0030451D" w:rsidRPr="00C67281" w:rsidRDefault="008461B7" w:rsidP="0030451D">
      <w:pPr>
        <w:pStyle w:val="USTustnpkodeksu"/>
      </w:pPr>
      <w:r w:rsidRPr="00C67281">
        <w:t>9</w:t>
      </w:r>
      <w:r w:rsidR="0030451D" w:rsidRPr="00C67281">
        <w:t>.</w:t>
      </w:r>
      <w:r w:rsidR="0030451D" w:rsidRPr="00C67281">
        <w:tab/>
        <w:t xml:space="preserve">Przed wydaniem decyzji, o której mowa w ust. </w:t>
      </w:r>
      <w:r w:rsidR="006F0215" w:rsidRPr="00C67281">
        <w:t>8</w:t>
      </w:r>
      <w:r w:rsidR="00B87CA5" w:rsidRPr="00C67281">
        <w:t>,</w:t>
      </w:r>
      <w:r w:rsidR="0030451D" w:rsidRPr="00C67281">
        <w:t xml:space="preserve"> minister właściwy do spraw informatyzacji może wstrzymać świadczenie </w:t>
      </w:r>
      <w:r w:rsidR="004A0ACF" w:rsidRPr="00C67281">
        <w:t>usługi ePłatności</w:t>
      </w:r>
      <w:r w:rsidR="0030451D" w:rsidRPr="00C67281">
        <w:t>.</w:t>
      </w:r>
    </w:p>
    <w:p w14:paraId="24FA97B1" w14:textId="49C41676" w:rsidR="001C4B5A" w:rsidRPr="00C67281" w:rsidRDefault="008461B7" w:rsidP="000B2CAE">
      <w:pPr>
        <w:pStyle w:val="USTustnpkodeksu"/>
      </w:pPr>
      <w:r w:rsidRPr="00C67281">
        <w:t>10</w:t>
      </w:r>
      <w:r w:rsidR="0030451D" w:rsidRPr="00C67281">
        <w:t>.</w:t>
      </w:r>
      <w:r w:rsidR="00E90CF6" w:rsidRPr="00C67281">
        <w:tab/>
      </w:r>
      <w:r w:rsidR="0030451D" w:rsidRPr="00C67281">
        <w:t xml:space="preserve">Decyzja, o której mowa w ust. </w:t>
      </w:r>
      <w:r w:rsidR="006F0215" w:rsidRPr="00C67281">
        <w:t>8</w:t>
      </w:r>
      <w:r w:rsidR="00B87CA5" w:rsidRPr="00C67281">
        <w:t xml:space="preserve">, </w:t>
      </w:r>
      <w:r w:rsidR="0030451D" w:rsidRPr="00C67281">
        <w:t>podlega natychmiastowemu wykonaniu.</w:t>
      </w:r>
    </w:p>
    <w:p w14:paraId="5287FDF6" w14:textId="42E18B13" w:rsidR="00845DA7" w:rsidRPr="00C67281" w:rsidRDefault="001C4B5A" w:rsidP="002C044B">
      <w:pPr>
        <w:pStyle w:val="ARTartustawynprozporzdzenia"/>
      </w:pPr>
      <w:r w:rsidRPr="00C67281">
        <w:rPr>
          <w:rStyle w:val="Ppogrubienie"/>
        </w:rPr>
        <w:lastRenderedPageBreak/>
        <w:t xml:space="preserve">Art. </w:t>
      </w:r>
      <w:r w:rsidR="008461B7" w:rsidRPr="00C67281">
        <w:rPr>
          <w:rStyle w:val="Ppogrubienie"/>
        </w:rPr>
        <w:t>10.</w:t>
      </w:r>
      <w:r w:rsidRPr="00C67281">
        <w:rPr>
          <w:rStyle w:val="Ppogrubienie"/>
        </w:rPr>
        <w:t xml:space="preserve"> </w:t>
      </w:r>
      <w:r w:rsidRPr="00C67281">
        <w:t>Minister</w:t>
      </w:r>
      <w:r w:rsidRPr="00C67281">
        <w:rPr>
          <w:rStyle w:val="Ppogrubienie"/>
          <w:b w:val="0"/>
        </w:rPr>
        <w:t xml:space="preserve"> właściwy do spraw informatyzacji może zapewnić podmiotowi publicznemu możliwość prowadzenia, przy użyciu Platformy ePłatności, ewidencji należności związanych ze świadczeniem tej usługi.</w:t>
      </w:r>
    </w:p>
    <w:p w14:paraId="1D3D717A" w14:textId="60AC211C" w:rsidR="00845DA7" w:rsidRPr="00C67281" w:rsidRDefault="00845DA7" w:rsidP="00845DA7">
      <w:pPr>
        <w:pStyle w:val="ARTartustawynprozporzdzenia"/>
      </w:pPr>
      <w:r w:rsidRPr="00C67281">
        <w:rPr>
          <w:rStyle w:val="Ppogrubienie"/>
        </w:rPr>
        <w:t xml:space="preserve">Art. </w:t>
      </w:r>
      <w:r w:rsidR="00BF5633" w:rsidRPr="00C67281">
        <w:rPr>
          <w:rStyle w:val="Ppogrubienie"/>
        </w:rPr>
        <w:t>1</w:t>
      </w:r>
      <w:r w:rsidR="008461B7" w:rsidRPr="00C67281">
        <w:rPr>
          <w:rStyle w:val="Ppogrubienie"/>
        </w:rPr>
        <w:t>1</w:t>
      </w:r>
      <w:r w:rsidRPr="00C67281">
        <w:t>.</w:t>
      </w:r>
      <w:r w:rsidRPr="00C67281">
        <w:tab/>
        <w:t>1.</w:t>
      </w:r>
      <w:r w:rsidR="002022F8" w:rsidRPr="00C67281">
        <w:tab/>
      </w:r>
      <w:r w:rsidRPr="00C67281">
        <w:t>Obsługę elektronicznych transakcji płatniczych realizowanych na rzecz podmiotów publicznych zapewnia BGK.</w:t>
      </w:r>
    </w:p>
    <w:p w14:paraId="59370CEA" w14:textId="387C3C7D" w:rsidR="00845DA7" w:rsidRPr="00C67281" w:rsidRDefault="00845DA7" w:rsidP="00845DA7">
      <w:pPr>
        <w:pStyle w:val="USTustnpkodeksu"/>
      </w:pPr>
      <w:r w:rsidRPr="00C67281">
        <w:t>2.</w:t>
      </w:r>
      <w:r w:rsidRPr="00C67281">
        <w:tab/>
        <w:t xml:space="preserve">BGK pełni rolę agenta rozliczeniowego, o którym mowa w art. 2 pkt 1a ustawy z dnia 19 sierpnia 2011 r. o usługach płatniczych, dla </w:t>
      </w:r>
      <w:r w:rsidR="00CB37DB" w:rsidRPr="00C67281">
        <w:t xml:space="preserve">elektronicznych </w:t>
      </w:r>
      <w:r w:rsidRPr="00C67281">
        <w:t>transakcji płatniczych na rzecz podmiotu publicznego.</w:t>
      </w:r>
    </w:p>
    <w:p w14:paraId="5D984146" w14:textId="029E7CAB" w:rsidR="00845DA7" w:rsidRPr="00C67281" w:rsidRDefault="00845DA7" w:rsidP="0091687F">
      <w:pPr>
        <w:pStyle w:val="USTustnpkodeksu"/>
      </w:pPr>
      <w:r w:rsidRPr="00C67281">
        <w:t>3.</w:t>
      </w:r>
      <w:r w:rsidRPr="00C67281">
        <w:tab/>
        <w:t>Podmiot publiczny pełni rolę akceptanta, o którym mowa w art. 2 pkt 1b ustawy z dnia 19 sierpnia 2011 r. o usługach płatniczych</w:t>
      </w:r>
      <w:r w:rsidR="00B87CA5" w:rsidRPr="00C67281">
        <w:t>,</w:t>
      </w:r>
      <w:r w:rsidRPr="00C67281">
        <w:t xml:space="preserve"> w stosunku do </w:t>
      </w:r>
      <w:r w:rsidR="0091687F" w:rsidRPr="00C67281">
        <w:t xml:space="preserve">BGK </w:t>
      </w:r>
      <w:r w:rsidRPr="00C67281">
        <w:t xml:space="preserve">dla </w:t>
      </w:r>
      <w:r w:rsidR="00CB37DB" w:rsidRPr="00C67281">
        <w:t xml:space="preserve">elektronicznych </w:t>
      </w:r>
      <w:r w:rsidRPr="00C67281">
        <w:t>transakcji płatniczych dokonywanych na rzecz tego podmiotu.</w:t>
      </w:r>
    </w:p>
    <w:p w14:paraId="1CCB167D" w14:textId="5C8B74C8" w:rsidR="00156BF8" w:rsidRPr="00C67281" w:rsidRDefault="00934E97" w:rsidP="00D967F6">
      <w:pPr>
        <w:pStyle w:val="ARTartustawynprozporzdzenia"/>
      </w:pPr>
      <w:r w:rsidRPr="00C67281">
        <w:rPr>
          <w:rStyle w:val="Ppogrubienie"/>
        </w:rPr>
        <w:t xml:space="preserve">Art. </w:t>
      </w:r>
      <w:r w:rsidR="0030451D" w:rsidRPr="00C67281">
        <w:rPr>
          <w:rStyle w:val="Ppogrubienie"/>
        </w:rPr>
        <w:t>1</w:t>
      </w:r>
      <w:r w:rsidR="00863C8A" w:rsidRPr="00C67281">
        <w:rPr>
          <w:rStyle w:val="Ppogrubienie"/>
        </w:rPr>
        <w:t>2</w:t>
      </w:r>
      <w:r w:rsidRPr="00C67281">
        <w:rPr>
          <w:rStyle w:val="Ppogrubienie"/>
        </w:rPr>
        <w:t>.</w:t>
      </w:r>
      <w:r w:rsidRPr="00C67281">
        <w:t xml:space="preserve"> </w:t>
      </w:r>
      <w:r w:rsidR="00D95B06" w:rsidRPr="00C67281">
        <w:t>1.</w:t>
      </w:r>
      <w:r w:rsidR="00156BF8" w:rsidRPr="00C67281">
        <w:tab/>
      </w:r>
      <w:r w:rsidR="0047166C" w:rsidRPr="00C67281">
        <w:tab/>
      </w:r>
      <w:r w:rsidR="00156BF8" w:rsidRPr="00C67281">
        <w:t>Obsług</w:t>
      </w:r>
      <w:r w:rsidR="0047166C" w:rsidRPr="00C67281">
        <w:t>a</w:t>
      </w:r>
      <w:r w:rsidR="00156BF8" w:rsidRPr="00C67281">
        <w:t xml:space="preserve"> elektronicznych transakcji płatniczych </w:t>
      </w:r>
      <w:r w:rsidR="0047166C" w:rsidRPr="00C67281">
        <w:t xml:space="preserve">na rzecz podmiotów publicznych jest </w:t>
      </w:r>
      <w:r w:rsidR="00156BF8" w:rsidRPr="00C67281">
        <w:t>realizowan</w:t>
      </w:r>
      <w:r w:rsidR="0047166C" w:rsidRPr="00C67281">
        <w:t>a</w:t>
      </w:r>
      <w:r w:rsidR="00156BF8" w:rsidRPr="00C67281">
        <w:t xml:space="preserve"> </w:t>
      </w:r>
      <w:r w:rsidR="0047166C" w:rsidRPr="00C67281">
        <w:t xml:space="preserve">przez BGK </w:t>
      </w:r>
      <w:r w:rsidR="00156BF8" w:rsidRPr="00C67281">
        <w:t>na podstawie umowy zawartej z ministrem właściwym do spraw informatyzacji.</w:t>
      </w:r>
    </w:p>
    <w:p w14:paraId="362A7F65" w14:textId="77777777" w:rsidR="00156BF8" w:rsidRPr="00C67281" w:rsidRDefault="00156BF8" w:rsidP="00D967F6">
      <w:pPr>
        <w:pStyle w:val="USTustnpkodeksu"/>
      </w:pPr>
      <w:r w:rsidRPr="00C67281">
        <w:t>2.</w:t>
      </w:r>
      <w:r w:rsidRPr="00C67281">
        <w:tab/>
        <w:t>Umowa, o której mowa w ust. 1, może obejmować również zapewnienie obsługi elektronicznych transakcji płatniczych na rzecz podmiotów publicznych przy użyciu terminala płatniczego.</w:t>
      </w:r>
    </w:p>
    <w:p w14:paraId="17661232" w14:textId="17DCEA6C" w:rsidR="00156BF8" w:rsidRPr="00C67281" w:rsidRDefault="00156BF8" w:rsidP="00D967F6">
      <w:pPr>
        <w:pStyle w:val="USTustnpkodeksu"/>
      </w:pPr>
      <w:r w:rsidRPr="00C67281">
        <w:t>3.</w:t>
      </w:r>
      <w:r w:rsidRPr="00C67281">
        <w:tab/>
        <w:t xml:space="preserve">W zakresie niezbędnym do wykonywania umowy, o której mowa w ust. 1, </w:t>
      </w:r>
      <w:r w:rsidR="009352AB" w:rsidRPr="00C67281">
        <w:t>BGK</w:t>
      </w:r>
      <w:r w:rsidRPr="00C67281">
        <w:t xml:space="preserve"> są udostępniane dane, o których mowa w art. 298a § 1 ustawy z dnia 29 sierpnia 1997 r. – Ordynacja podatkowa</w:t>
      </w:r>
      <w:r w:rsidR="009A5628" w:rsidRPr="00C67281">
        <w:t xml:space="preserve"> (Dz. U. z 2025 r. poz. 111</w:t>
      </w:r>
      <w:r w:rsidR="00FA2DC0" w:rsidRPr="00C67281">
        <w:t>, 497, 621, 622, 769 i 820</w:t>
      </w:r>
      <w:r w:rsidR="009A5628" w:rsidRPr="00C67281">
        <w:t>)</w:t>
      </w:r>
      <w:r w:rsidRPr="00C67281">
        <w:t>.</w:t>
      </w:r>
    </w:p>
    <w:p w14:paraId="41D4CD19" w14:textId="797F3D33" w:rsidR="00156BF8" w:rsidRPr="00C67281" w:rsidRDefault="00156BF8" w:rsidP="00D967F6">
      <w:pPr>
        <w:pStyle w:val="USTustnpkodeksu"/>
      </w:pPr>
      <w:r w:rsidRPr="00C67281">
        <w:t>4.</w:t>
      </w:r>
      <w:r w:rsidRPr="00C67281">
        <w:tab/>
      </w:r>
      <w:r w:rsidR="009352AB" w:rsidRPr="00C67281">
        <w:t>BGK</w:t>
      </w:r>
      <w:r w:rsidRPr="00C67281">
        <w:t xml:space="preserve"> przysługuje wynagrodzenie z tytułu obsługi transakcji płatniczych ze środków budżetu państwa z części, której dysponentem jest minister właściwy do spraw informatyzacji, </w:t>
      </w:r>
      <w:r w:rsidR="00CB37DB" w:rsidRPr="00C67281">
        <w:t xml:space="preserve">w tym wynagrodzenie od każdej pojedynczej transakcji płatniczej, </w:t>
      </w:r>
      <w:r w:rsidRPr="00C67281">
        <w:t>przy czym wysokość tego wynagrodzenia nie może przekroczyć 0,10 zł.</w:t>
      </w:r>
    </w:p>
    <w:p w14:paraId="47352120" w14:textId="2A03CE13" w:rsidR="005615F9" w:rsidRPr="00C67281" w:rsidRDefault="005615F9" w:rsidP="00D967F6">
      <w:pPr>
        <w:pStyle w:val="USTustnpkodeksu"/>
      </w:pPr>
      <w:r w:rsidRPr="00C67281">
        <w:t xml:space="preserve">5. </w:t>
      </w:r>
      <w:r w:rsidR="00D95B06" w:rsidRPr="00C67281">
        <w:t xml:space="preserve">Wynagrodzenie, o którym mowa w ust. 4, </w:t>
      </w:r>
      <w:r w:rsidRPr="00C67281">
        <w:t>ulega podwyższeniu na następny rok w</w:t>
      </w:r>
      <w:r w:rsidR="00BC0FF9" w:rsidRPr="00C67281">
        <w:t> </w:t>
      </w:r>
      <w:r w:rsidRPr="00C67281">
        <w:t xml:space="preserve">stopniu odpowiadającym wskaźnikowi wzrostu cen towarów i usług konsumpcyjnych w okresie pierwszych trzech kwartałów roku, w którym </w:t>
      </w:r>
      <w:r w:rsidR="00D95B06" w:rsidRPr="00C67281">
        <w:t>wynagrodzenie</w:t>
      </w:r>
      <w:r w:rsidRPr="00C67281">
        <w:t xml:space="preserve"> ulega zmianie, w</w:t>
      </w:r>
      <w:r w:rsidR="00BC0FF9" w:rsidRPr="00C67281">
        <w:t> </w:t>
      </w:r>
      <w:r w:rsidRPr="00C67281">
        <w:t>stosunku do analogicznego okresu roku poprzedniego.</w:t>
      </w:r>
    </w:p>
    <w:p w14:paraId="5C36BC90" w14:textId="017F5BF1" w:rsidR="005615F9" w:rsidRPr="00C67281" w:rsidRDefault="00D95B06" w:rsidP="00D967F6">
      <w:pPr>
        <w:pStyle w:val="USTustnpkodeksu"/>
      </w:pPr>
      <w:r w:rsidRPr="00C67281">
        <w:t>6</w:t>
      </w:r>
      <w:r w:rsidR="005615F9" w:rsidRPr="00C67281">
        <w:t xml:space="preserve">. Wskaźnik wzrostu cen, o którym mowa w ust. </w:t>
      </w:r>
      <w:r w:rsidRPr="00C67281">
        <w:t>5</w:t>
      </w:r>
      <w:r w:rsidR="005615F9" w:rsidRPr="00C67281">
        <w:t xml:space="preserve">, ustala się na podstawie komunikatu Prezesa Głównego Urzędu Statystycznego ogłoszonego w Dzienniku Urzędowym Rzeczypospolitej Polskiej </w:t>
      </w:r>
      <w:r w:rsidR="009352AB" w:rsidRPr="00C67281">
        <w:t>„</w:t>
      </w:r>
      <w:r w:rsidR="005615F9" w:rsidRPr="00C67281">
        <w:t>Monitor Polski</w:t>
      </w:r>
      <w:r w:rsidR="009A5628" w:rsidRPr="00C67281">
        <w:t>”</w:t>
      </w:r>
      <w:r w:rsidRPr="00C67281">
        <w:t>.</w:t>
      </w:r>
    </w:p>
    <w:p w14:paraId="1BCD161F" w14:textId="6828E566" w:rsidR="00156BF8" w:rsidRPr="00C67281" w:rsidRDefault="00D95B06" w:rsidP="00D967F6">
      <w:pPr>
        <w:pStyle w:val="USTustnpkodeksu"/>
      </w:pPr>
      <w:r w:rsidRPr="00C67281">
        <w:lastRenderedPageBreak/>
        <w:t>7</w:t>
      </w:r>
      <w:r w:rsidR="00156BF8" w:rsidRPr="00C67281">
        <w:t>.</w:t>
      </w:r>
      <w:r w:rsidR="00156BF8" w:rsidRPr="00C67281">
        <w:tab/>
      </w:r>
      <w:r w:rsidR="009352AB" w:rsidRPr="00C67281">
        <w:t>B</w:t>
      </w:r>
      <w:r w:rsidR="00AE57D3" w:rsidRPr="00C67281">
        <w:t>GK</w:t>
      </w:r>
      <w:r w:rsidR="00156BF8" w:rsidRPr="00C67281">
        <w:t xml:space="preserve"> składa ministrowi właściwemu do spraw informatyzacji miesięczne sprawozdania z realizacji obsługi elektronicznych transakcji płatniczych.</w:t>
      </w:r>
    </w:p>
    <w:p w14:paraId="25D6552A" w14:textId="2176BB33" w:rsidR="00156BF8" w:rsidRPr="00C67281" w:rsidRDefault="00D95B06" w:rsidP="00D967F6">
      <w:pPr>
        <w:pStyle w:val="USTustnpkodeksu"/>
      </w:pPr>
      <w:r w:rsidRPr="00C67281">
        <w:t>8</w:t>
      </w:r>
      <w:r w:rsidR="00156BF8" w:rsidRPr="00C67281">
        <w:t>.</w:t>
      </w:r>
      <w:r w:rsidR="00156BF8" w:rsidRPr="00C67281">
        <w:tab/>
        <w:t>Umowa, o której mowa w ust. 1, określa w szczególności:</w:t>
      </w:r>
    </w:p>
    <w:p w14:paraId="2A8E050D" w14:textId="77777777" w:rsidR="00156BF8" w:rsidRPr="00C67281" w:rsidRDefault="00156BF8" w:rsidP="00D967F6">
      <w:pPr>
        <w:pStyle w:val="PKTpunkt"/>
      </w:pPr>
      <w:r w:rsidRPr="00C67281">
        <w:t>1)</w:t>
      </w:r>
      <w:r w:rsidRPr="00C67281">
        <w:tab/>
        <w:t>czas trwania umowy;</w:t>
      </w:r>
    </w:p>
    <w:p w14:paraId="1BA50109" w14:textId="78B8F3C0" w:rsidR="00156BF8" w:rsidRPr="00C67281" w:rsidRDefault="004D0819" w:rsidP="00D967F6">
      <w:pPr>
        <w:pStyle w:val="PKTpunkt"/>
      </w:pPr>
      <w:r w:rsidRPr="00C67281">
        <w:t>2</w:t>
      </w:r>
      <w:r w:rsidR="00CB37DB" w:rsidRPr="00C67281">
        <w:t>)</w:t>
      </w:r>
      <w:r w:rsidR="00B87CA5" w:rsidRPr="00C67281">
        <w:tab/>
      </w:r>
      <w:r w:rsidR="00156BF8" w:rsidRPr="00C67281">
        <w:t xml:space="preserve">zasady </w:t>
      </w:r>
      <w:r w:rsidR="00254FC7" w:rsidRPr="00C67281">
        <w:t xml:space="preserve">i sposób </w:t>
      </w:r>
      <w:r w:rsidR="00156BF8" w:rsidRPr="00C67281">
        <w:t>obsługi elektronicznych transakcji płatniczych</w:t>
      </w:r>
      <w:r w:rsidR="00254FC7" w:rsidRPr="00C67281">
        <w:t xml:space="preserve"> przez BGK</w:t>
      </w:r>
      <w:r w:rsidR="00156BF8" w:rsidRPr="00C67281">
        <w:t>;</w:t>
      </w:r>
    </w:p>
    <w:p w14:paraId="06710F9E" w14:textId="76F37A25" w:rsidR="6145BA42" w:rsidRPr="00C67281" w:rsidRDefault="004D0819" w:rsidP="0C2A86D8">
      <w:pPr>
        <w:pStyle w:val="PKTpunkt"/>
      </w:pPr>
      <w:r w:rsidRPr="00C67281">
        <w:t>3</w:t>
      </w:r>
      <w:r w:rsidR="6145BA42" w:rsidRPr="00C67281">
        <w:t>)</w:t>
      </w:r>
      <w:r w:rsidR="6145BA42" w:rsidRPr="00C67281">
        <w:tab/>
        <w:t>zasady przetwarzania danych</w:t>
      </w:r>
      <w:r w:rsidR="003E26A7" w:rsidRPr="00C67281">
        <w:t>,</w:t>
      </w:r>
      <w:r w:rsidR="6145BA42" w:rsidRPr="00C67281">
        <w:t xml:space="preserve"> w tym danych osobowych; </w:t>
      </w:r>
    </w:p>
    <w:p w14:paraId="24257F40" w14:textId="75A1D5C6" w:rsidR="00156BF8" w:rsidRPr="00C67281" w:rsidRDefault="004D0819" w:rsidP="00D967F6">
      <w:pPr>
        <w:pStyle w:val="PKTpunkt"/>
      </w:pPr>
      <w:r w:rsidRPr="00C67281">
        <w:t>4</w:t>
      </w:r>
      <w:r w:rsidR="00156BF8" w:rsidRPr="00C67281">
        <w:t>)</w:t>
      </w:r>
      <w:r w:rsidR="00CB37DB" w:rsidRPr="00C67281">
        <w:tab/>
      </w:r>
      <w:r w:rsidR="00156BF8" w:rsidRPr="00C67281">
        <w:t>tryb, sposób oraz terminy dokonywania rozliczeń transakcji;</w:t>
      </w:r>
    </w:p>
    <w:p w14:paraId="50AEBF29" w14:textId="5C930257" w:rsidR="004D0819" w:rsidRPr="00C67281" w:rsidRDefault="004D0819" w:rsidP="004D0819">
      <w:pPr>
        <w:pStyle w:val="PKTpunkt"/>
      </w:pPr>
      <w:r w:rsidRPr="00C67281">
        <w:t>5)</w:t>
      </w:r>
      <w:r w:rsidRPr="00C67281">
        <w:tab/>
        <w:t>tryb, sposób i zakres składania sprawozdań z realizacji umowy;</w:t>
      </w:r>
    </w:p>
    <w:p w14:paraId="05098FCD" w14:textId="18513A93" w:rsidR="008B5AE9" w:rsidRPr="00C67281" w:rsidRDefault="004D0819" w:rsidP="00D967F6">
      <w:pPr>
        <w:pStyle w:val="PKTpunkt"/>
      </w:pPr>
      <w:r w:rsidRPr="00C67281">
        <w:t>6</w:t>
      </w:r>
      <w:r w:rsidR="00156BF8" w:rsidRPr="00C67281">
        <w:t>)</w:t>
      </w:r>
      <w:r w:rsidR="00CB37DB" w:rsidRPr="00C67281">
        <w:tab/>
      </w:r>
      <w:r w:rsidR="00156BF8" w:rsidRPr="00C67281">
        <w:t>warunki zmiany oraz rozwiązania umowy.</w:t>
      </w:r>
    </w:p>
    <w:p w14:paraId="63D6E1B1" w14:textId="76F4A365" w:rsidR="00156BF8" w:rsidRPr="00C67281" w:rsidRDefault="00D95B06" w:rsidP="00D967F6">
      <w:pPr>
        <w:pStyle w:val="USTustnpkodeksu"/>
      </w:pPr>
      <w:r w:rsidRPr="00C67281">
        <w:t>9</w:t>
      </w:r>
      <w:r w:rsidR="008B5AE9" w:rsidRPr="00C67281">
        <w:t>.</w:t>
      </w:r>
      <w:r w:rsidR="008B5AE9" w:rsidRPr="00C67281">
        <w:tab/>
        <w:t xml:space="preserve">Minister właściwy do spraw informatyzacji określi, w drodze rozporządzenia, wysokość wynagrodzenia, o którym mowa w ust. </w:t>
      </w:r>
      <w:r w:rsidRPr="00C67281">
        <w:t>4</w:t>
      </w:r>
      <w:r w:rsidR="008B5AE9" w:rsidRPr="00C67281">
        <w:t>, mając na uwadze przewidywane koszty świadczenia usług płatniczych.</w:t>
      </w:r>
    </w:p>
    <w:p w14:paraId="4C580205" w14:textId="5BD63DD8" w:rsidR="00B64698" w:rsidRPr="00C67281" w:rsidRDefault="004D18F0" w:rsidP="00D13B9B">
      <w:pPr>
        <w:pStyle w:val="ARTartustawynprozporzdzenia"/>
        <w:rPr>
          <w:rStyle w:val="Ppogrubienie"/>
          <w:b w:val="0"/>
        </w:rPr>
      </w:pPr>
      <w:r w:rsidRPr="00C67281">
        <w:rPr>
          <w:rStyle w:val="Ppogrubienie"/>
        </w:rPr>
        <w:t xml:space="preserve">Art. </w:t>
      </w:r>
      <w:r w:rsidR="00F726FA" w:rsidRPr="00C67281">
        <w:rPr>
          <w:rStyle w:val="Ppogrubienie"/>
        </w:rPr>
        <w:t>13.</w:t>
      </w:r>
      <w:r w:rsidRPr="00C67281">
        <w:tab/>
      </w:r>
      <w:r w:rsidR="00B64698" w:rsidRPr="00C67281">
        <w:t xml:space="preserve">1. </w:t>
      </w:r>
      <w:r w:rsidR="00F726FA" w:rsidRPr="00C67281">
        <w:rPr>
          <w:rStyle w:val="Ppogrubienie"/>
          <w:b w:val="0"/>
        </w:rPr>
        <w:t>Minister właściwy do spraw informatyzacji może udzielić</w:t>
      </w:r>
      <w:r w:rsidR="1AD98864" w:rsidRPr="00C67281">
        <w:rPr>
          <w:rStyle w:val="Ppogrubienie"/>
          <w:b w:val="0"/>
        </w:rPr>
        <w:t xml:space="preserve"> w latach 2026</w:t>
      </w:r>
      <w:r w:rsidR="00B87CA5" w:rsidRPr="00C67281">
        <w:rPr>
          <w:rStyle w:val="Ppogrubienie"/>
          <w:b w:val="0"/>
        </w:rPr>
        <w:t>–</w:t>
      </w:r>
      <w:r w:rsidR="1AD98864" w:rsidRPr="00C67281">
        <w:rPr>
          <w:rStyle w:val="Ppogrubienie"/>
          <w:b w:val="0"/>
        </w:rPr>
        <w:t>2028</w:t>
      </w:r>
      <w:r w:rsidR="00F726FA" w:rsidRPr="00C67281">
        <w:rPr>
          <w:rStyle w:val="Ppogrubienie"/>
          <w:b w:val="0"/>
        </w:rPr>
        <w:t xml:space="preserve"> dotacji celowej </w:t>
      </w:r>
      <w:r w:rsidR="664E0F41" w:rsidRPr="00C67281">
        <w:rPr>
          <w:rStyle w:val="Ppogrubienie"/>
          <w:b w:val="0"/>
        </w:rPr>
        <w:t xml:space="preserve">jednostkom samorządu terytorialnego </w:t>
      </w:r>
      <w:r w:rsidR="06E99DE1" w:rsidRPr="00C67281">
        <w:rPr>
          <w:rStyle w:val="Ppogrubienie"/>
          <w:b w:val="0"/>
        </w:rPr>
        <w:t>o liczbie mieszkańców do 10 000</w:t>
      </w:r>
      <w:r w:rsidR="00F726FA" w:rsidRPr="00C67281">
        <w:rPr>
          <w:rStyle w:val="Ppogrubienie"/>
          <w:b w:val="0"/>
        </w:rPr>
        <w:t xml:space="preserve"> na finansowanie albo dofinansowanie wydatków poniesionych w celu integracji ich systemów teleinformatycznych z usługą ePłatności, zwanej dalej „dotacją”.</w:t>
      </w:r>
    </w:p>
    <w:p w14:paraId="52CEBA9D" w14:textId="5516D7A7" w:rsidR="004A2C94" w:rsidRPr="00C67281" w:rsidRDefault="00B64698" w:rsidP="00C71524">
      <w:pPr>
        <w:pStyle w:val="USTustnpkodeksu"/>
        <w:rPr>
          <w:rStyle w:val="Ppogrubienie"/>
          <w:b w:val="0"/>
          <w:bCs w:val="0"/>
        </w:rPr>
      </w:pPr>
      <w:r w:rsidRPr="00C67281">
        <w:rPr>
          <w:rStyle w:val="Ppogrubienie"/>
          <w:b w:val="0"/>
          <w:bCs w:val="0"/>
        </w:rPr>
        <w:t>2</w:t>
      </w:r>
      <w:r w:rsidR="00F726FA" w:rsidRPr="00C67281">
        <w:rPr>
          <w:rStyle w:val="Ppogrubienie"/>
          <w:b w:val="0"/>
          <w:bCs w:val="0"/>
        </w:rPr>
        <w:t>.</w:t>
      </w:r>
      <w:r w:rsidR="2EFC225C" w:rsidRPr="00C67281">
        <w:rPr>
          <w:rStyle w:val="Ppogrubienie"/>
          <w:b w:val="0"/>
          <w:bCs w:val="0"/>
        </w:rPr>
        <w:t xml:space="preserve"> Minister właściwy do spraw informatyzacji </w:t>
      </w:r>
      <w:r w:rsidR="004A2C94" w:rsidRPr="00C67281">
        <w:rPr>
          <w:rStyle w:val="Ppogrubienie"/>
          <w:b w:val="0"/>
          <w:bCs w:val="0"/>
        </w:rPr>
        <w:t xml:space="preserve">udostępnia ogłoszenie o </w:t>
      </w:r>
      <w:r w:rsidR="3D3E0160" w:rsidRPr="00C67281">
        <w:rPr>
          <w:rStyle w:val="Ppogrubienie"/>
          <w:b w:val="0"/>
          <w:bCs w:val="0"/>
        </w:rPr>
        <w:t>nab</w:t>
      </w:r>
      <w:r w:rsidR="004A2C94" w:rsidRPr="00C67281">
        <w:rPr>
          <w:rStyle w:val="Ppogrubienie"/>
          <w:b w:val="0"/>
          <w:bCs w:val="0"/>
        </w:rPr>
        <w:t>orze</w:t>
      </w:r>
      <w:r w:rsidR="3D3E0160" w:rsidRPr="00C67281">
        <w:rPr>
          <w:rStyle w:val="Ppogrubienie"/>
          <w:b w:val="0"/>
          <w:bCs w:val="0"/>
        </w:rPr>
        <w:t xml:space="preserve"> wniosków o udzielenie</w:t>
      </w:r>
      <w:r w:rsidR="00D13B9B" w:rsidRPr="00C67281">
        <w:rPr>
          <w:rStyle w:val="Ppogrubienie"/>
          <w:b w:val="0"/>
          <w:bCs w:val="0"/>
        </w:rPr>
        <w:t xml:space="preserve"> dotacji</w:t>
      </w:r>
      <w:r w:rsidR="004A2C94" w:rsidRPr="00C67281">
        <w:rPr>
          <w:rStyle w:val="Ppogrubienie"/>
          <w:b w:val="0"/>
          <w:bCs w:val="0"/>
        </w:rPr>
        <w:t xml:space="preserve"> </w:t>
      </w:r>
      <w:r w:rsidR="00D13B9B" w:rsidRPr="00C67281">
        <w:rPr>
          <w:rStyle w:val="Ppogrubienie"/>
          <w:b w:val="0"/>
          <w:bCs w:val="0"/>
        </w:rPr>
        <w:t xml:space="preserve">w Biuletynie Informacji </w:t>
      </w:r>
      <w:r w:rsidR="004A2C94" w:rsidRPr="00C67281">
        <w:rPr>
          <w:rStyle w:val="Ppogrubienie"/>
          <w:b w:val="0"/>
          <w:bCs w:val="0"/>
        </w:rPr>
        <w:t>P</w:t>
      </w:r>
      <w:r w:rsidR="00D13B9B" w:rsidRPr="00C67281">
        <w:rPr>
          <w:rStyle w:val="Ppogrubienie"/>
          <w:b w:val="0"/>
          <w:bCs w:val="0"/>
        </w:rPr>
        <w:t xml:space="preserve">ublicznej na </w:t>
      </w:r>
      <w:r w:rsidR="004A2C94" w:rsidRPr="00C67281">
        <w:rPr>
          <w:rStyle w:val="Ppogrubienie"/>
          <w:b w:val="0"/>
          <w:bCs w:val="0"/>
        </w:rPr>
        <w:t xml:space="preserve">swojej </w:t>
      </w:r>
      <w:r w:rsidR="00D13B9B" w:rsidRPr="00C67281">
        <w:rPr>
          <w:rStyle w:val="Ppogrubienie"/>
          <w:b w:val="0"/>
          <w:bCs w:val="0"/>
        </w:rPr>
        <w:t>stronie podmiotowej</w:t>
      </w:r>
      <w:r w:rsidR="004A2C94" w:rsidRPr="00C67281">
        <w:rPr>
          <w:rStyle w:val="Ppogrubienie"/>
          <w:b w:val="0"/>
          <w:bCs w:val="0"/>
        </w:rPr>
        <w:t>.</w:t>
      </w:r>
    </w:p>
    <w:p w14:paraId="101A2F9B" w14:textId="4C48B139" w:rsidR="00F726FA" w:rsidRPr="00C67281" w:rsidRDefault="004A2C94" w:rsidP="00C71524">
      <w:pPr>
        <w:pStyle w:val="USTustnpkodeksu"/>
        <w:rPr>
          <w:rStyle w:val="Ppogrubienie"/>
          <w:b w:val="0"/>
        </w:rPr>
      </w:pPr>
      <w:r w:rsidRPr="00C67281">
        <w:rPr>
          <w:rStyle w:val="Ppogrubienie"/>
          <w:b w:val="0"/>
          <w:bCs w:val="0"/>
        </w:rPr>
        <w:t xml:space="preserve">3. </w:t>
      </w:r>
      <w:r w:rsidR="004D0819" w:rsidRPr="00C67281">
        <w:rPr>
          <w:rStyle w:val="Ppogrubienie"/>
          <w:b w:val="0"/>
          <w:bCs w:val="0"/>
        </w:rPr>
        <w:t>Ogłoszenie o naborze zawiera</w:t>
      </w:r>
      <w:r w:rsidR="00BE2A84">
        <w:rPr>
          <w:rStyle w:val="Ppogrubienie"/>
          <w:b w:val="0"/>
          <w:bCs w:val="0"/>
        </w:rPr>
        <w:t xml:space="preserve"> </w:t>
      </w:r>
      <w:r w:rsidR="2EFC225C" w:rsidRPr="00C67281">
        <w:rPr>
          <w:rStyle w:val="Ppogrubienie"/>
          <w:b w:val="0"/>
          <w:bCs w:val="0"/>
        </w:rPr>
        <w:t>kryteria naboru</w:t>
      </w:r>
      <w:r w:rsidR="6C2EDDB0" w:rsidRPr="00C67281">
        <w:rPr>
          <w:rStyle w:val="Ppogrubienie"/>
          <w:b w:val="0"/>
          <w:bCs w:val="0"/>
        </w:rPr>
        <w:t>, w tym:</w:t>
      </w:r>
    </w:p>
    <w:p w14:paraId="355F83A5" w14:textId="2F7440AA" w:rsidR="00F726FA" w:rsidRPr="00C67281" w:rsidRDefault="6C2EDDB0" w:rsidP="024F37FA">
      <w:pPr>
        <w:pStyle w:val="PKTpunkt"/>
        <w:rPr>
          <w:rStyle w:val="Ppogrubienie"/>
          <w:b w:val="0"/>
          <w:bCs w:val="0"/>
        </w:rPr>
      </w:pPr>
      <w:r w:rsidRPr="00C67281">
        <w:rPr>
          <w:rStyle w:val="Ppogrubienie"/>
          <w:b w:val="0"/>
          <w:bCs w:val="0"/>
        </w:rPr>
        <w:t>1)</w:t>
      </w:r>
      <w:r w:rsidR="00F726FA" w:rsidRPr="00C67281">
        <w:tab/>
      </w:r>
      <w:r w:rsidR="63640FFD" w:rsidRPr="00C67281">
        <w:rPr>
          <w:rStyle w:val="Ppogrubienie"/>
          <w:b w:val="0"/>
          <w:bCs w:val="0"/>
        </w:rPr>
        <w:t>warunki udzielania, przekazywania i rozliczania dotacji</w:t>
      </w:r>
      <w:r w:rsidR="27E8C276" w:rsidRPr="00C67281">
        <w:rPr>
          <w:rStyle w:val="Ppogrubienie"/>
          <w:b w:val="0"/>
          <w:bCs w:val="0"/>
        </w:rPr>
        <w:t>;</w:t>
      </w:r>
      <w:r w:rsidR="63640FFD" w:rsidRPr="00C67281">
        <w:rPr>
          <w:rStyle w:val="Ppogrubienie"/>
          <w:b w:val="0"/>
          <w:bCs w:val="0"/>
        </w:rPr>
        <w:t xml:space="preserve"> </w:t>
      </w:r>
    </w:p>
    <w:p w14:paraId="18AEE12B" w14:textId="572627C0" w:rsidR="00F726FA" w:rsidRPr="00C67281" w:rsidRDefault="63640FFD" w:rsidP="024F37FA">
      <w:pPr>
        <w:pStyle w:val="PKTpunkt"/>
        <w:rPr>
          <w:rStyle w:val="Ppogrubienie"/>
          <w:b w:val="0"/>
          <w:bCs w:val="0"/>
        </w:rPr>
      </w:pPr>
      <w:r w:rsidRPr="00C67281">
        <w:rPr>
          <w:rStyle w:val="Ppogrubienie"/>
          <w:b w:val="0"/>
          <w:bCs w:val="0"/>
        </w:rPr>
        <w:t>2)</w:t>
      </w:r>
      <w:r w:rsidR="00F726FA" w:rsidRPr="00C67281">
        <w:tab/>
      </w:r>
      <w:r w:rsidR="6C2EDDB0" w:rsidRPr="00C67281">
        <w:rPr>
          <w:rStyle w:val="Ppogrubienie"/>
          <w:b w:val="0"/>
          <w:bCs w:val="0"/>
        </w:rPr>
        <w:t>sposób dokumentowania</w:t>
      </w:r>
      <w:r w:rsidR="6E0FDE7A" w:rsidRPr="00C67281">
        <w:rPr>
          <w:rStyle w:val="Ppogrubienie"/>
          <w:b w:val="0"/>
          <w:bCs w:val="0"/>
        </w:rPr>
        <w:t xml:space="preserve"> wydatków</w:t>
      </w:r>
      <w:r w:rsidR="46EE0DAD" w:rsidRPr="00C67281">
        <w:rPr>
          <w:rStyle w:val="Ppogrubienie"/>
          <w:b w:val="0"/>
          <w:bCs w:val="0"/>
        </w:rPr>
        <w:t>.</w:t>
      </w:r>
    </w:p>
    <w:p w14:paraId="13BC7E10" w14:textId="755D9F53" w:rsidR="00F726FA" w:rsidRPr="00C67281" w:rsidRDefault="004A2C94" w:rsidP="024F37FA">
      <w:pPr>
        <w:pStyle w:val="USTustnpkodeksu"/>
        <w:rPr>
          <w:rStyle w:val="Ppogrubienie"/>
          <w:b w:val="0"/>
          <w:bCs w:val="0"/>
        </w:rPr>
      </w:pPr>
      <w:r w:rsidRPr="00C67281">
        <w:rPr>
          <w:rStyle w:val="Ppogrubienie"/>
          <w:b w:val="0"/>
          <w:bCs w:val="0"/>
        </w:rPr>
        <w:t>4</w:t>
      </w:r>
      <w:r w:rsidR="6996A627" w:rsidRPr="00C67281">
        <w:rPr>
          <w:rStyle w:val="Ppogrubienie"/>
          <w:b w:val="0"/>
          <w:bCs w:val="0"/>
        </w:rPr>
        <w:t xml:space="preserve">. </w:t>
      </w:r>
      <w:r w:rsidR="00F726FA" w:rsidRPr="00C67281">
        <w:rPr>
          <w:rStyle w:val="Ppogrubienie"/>
          <w:b w:val="0"/>
          <w:bCs w:val="0"/>
        </w:rPr>
        <w:t xml:space="preserve">Minister właściwy do spraw informatyzacji dokonuje podziału środków na podstawie </w:t>
      </w:r>
      <w:r w:rsidR="00F726FA" w:rsidRPr="00C67281">
        <w:t>przeprowadzonego</w:t>
      </w:r>
      <w:r w:rsidR="00F726FA" w:rsidRPr="00C67281">
        <w:rPr>
          <w:rStyle w:val="Ppogrubienie"/>
          <w:b w:val="0"/>
          <w:bCs w:val="0"/>
        </w:rPr>
        <w:t xml:space="preserve"> naboru wniosków o udzielenie dotacji uwzględniając wysokość środków jakie w danym roku budżetowym może przeznaczyć na dotacje.</w:t>
      </w:r>
    </w:p>
    <w:p w14:paraId="43B86BD5" w14:textId="3E902D3F" w:rsidR="00F726FA" w:rsidRPr="00C67281" w:rsidRDefault="00F726FA" w:rsidP="00F726FA">
      <w:pPr>
        <w:pStyle w:val="ARTartustawynprozporzdzenia"/>
        <w:rPr>
          <w:rStyle w:val="Ppogrubienie"/>
          <w:b w:val="0"/>
          <w:bCs/>
        </w:rPr>
      </w:pPr>
      <w:r w:rsidRPr="00C67281">
        <w:rPr>
          <w:rStyle w:val="Ppogrubienie"/>
        </w:rPr>
        <w:t>Art. 14.</w:t>
      </w:r>
      <w:r w:rsidRPr="00C67281">
        <w:rPr>
          <w:rStyle w:val="Ppogrubienie"/>
          <w:b w:val="0"/>
          <w:bCs/>
        </w:rPr>
        <w:t xml:space="preserve"> 1.</w:t>
      </w:r>
      <w:r w:rsidRPr="00C67281">
        <w:rPr>
          <w:rStyle w:val="Ppogrubienie"/>
          <w:b w:val="0"/>
          <w:bCs/>
        </w:rPr>
        <w:tab/>
        <w:t>Minister właściwy do spraw informatyzacji może, w drodze umowy, powierzyć realizację zadań związanych z obsługą procesu</w:t>
      </w:r>
      <w:r w:rsidR="00C9552C" w:rsidRPr="00C67281">
        <w:rPr>
          <w:rStyle w:val="Ppogrubienie"/>
          <w:b w:val="0"/>
          <w:bCs/>
        </w:rPr>
        <w:t xml:space="preserve"> ogłaszania naboru wniosków,</w:t>
      </w:r>
      <w:r w:rsidRPr="00C67281">
        <w:rPr>
          <w:rStyle w:val="Ppogrubienie"/>
          <w:b w:val="0"/>
          <w:bCs/>
        </w:rPr>
        <w:t xml:space="preserve"> udzielania i</w:t>
      </w:r>
      <w:r w:rsidR="00BE2A84">
        <w:rPr>
          <w:rStyle w:val="Ppogrubienie"/>
          <w:b w:val="0"/>
          <w:bCs/>
        </w:rPr>
        <w:t> </w:t>
      </w:r>
      <w:r w:rsidRPr="00C67281">
        <w:rPr>
          <w:rStyle w:val="Ppogrubienie"/>
          <w:b w:val="0"/>
          <w:bCs/>
        </w:rPr>
        <w:t>rozliczania dotacji jednostce sektora finansów publicznych, państwowej osobie prawnej albo B</w:t>
      </w:r>
      <w:r w:rsidR="004E03F2" w:rsidRPr="00C67281">
        <w:rPr>
          <w:rStyle w:val="Ppogrubienie"/>
          <w:b w:val="0"/>
          <w:bCs/>
        </w:rPr>
        <w:t>GK</w:t>
      </w:r>
      <w:r w:rsidRPr="00C67281">
        <w:rPr>
          <w:rStyle w:val="Ppogrubienie"/>
          <w:b w:val="0"/>
          <w:bCs/>
        </w:rPr>
        <w:t xml:space="preserve">, określając w szczególności: </w:t>
      </w:r>
    </w:p>
    <w:p w14:paraId="150DA7BE" w14:textId="374F18D4" w:rsidR="00F726FA" w:rsidRPr="00C67281" w:rsidRDefault="00F726FA" w:rsidP="00C71524">
      <w:pPr>
        <w:pStyle w:val="PKTpunkt"/>
        <w:rPr>
          <w:rStyle w:val="Ppogrubienie"/>
          <w:b w:val="0"/>
        </w:rPr>
      </w:pPr>
      <w:r w:rsidRPr="00C67281">
        <w:rPr>
          <w:rStyle w:val="Ppogrubienie"/>
          <w:b w:val="0"/>
          <w:bCs w:val="0"/>
        </w:rPr>
        <w:t>1)</w:t>
      </w:r>
      <w:r w:rsidRPr="00C67281">
        <w:tab/>
      </w:r>
      <w:r w:rsidRPr="00C67281">
        <w:rPr>
          <w:rStyle w:val="Ppogrubienie"/>
          <w:b w:val="0"/>
          <w:bCs w:val="0"/>
        </w:rPr>
        <w:t>sposób finansowania realizacji zadania;</w:t>
      </w:r>
    </w:p>
    <w:p w14:paraId="47E8E3F0" w14:textId="707857C0" w:rsidR="00F726FA" w:rsidRPr="00C67281" w:rsidRDefault="00F726FA" w:rsidP="00C71524">
      <w:pPr>
        <w:pStyle w:val="PKTpunkt"/>
        <w:rPr>
          <w:rStyle w:val="Ppogrubienie"/>
          <w:rFonts w:ascii="Times New Roman" w:hAnsi="Times New Roman"/>
          <w:b w:val="0"/>
        </w:rPr>
      </w:pPr>
      <w:r w:rsidRPr="00C67281">
        <w:rPr>
          <w:rStyle w:val="Ppogrubienie"/>
          <w:b w:val="0"/>
          <w:bCs w:val="0"/>
        </w:rPr>
        <w:t>2)</w:t>
      </w:r>
      <w:r w:rsidRPr="00C67281">
        <w:tab/>
      </w:r>
      <w:r w:rsidRPr="00C67281">
        <w:rPr>
          <w:rStyle w:val="Ppogrubienie"/>
          <w:b w:val="0"/>
          <w:bCs w:val="0"/>
        </w:rPr>
        <w:t>zakres zadań powierzonych, w tym możliwość:</w:t>
      </w:r>
    </w:p>
    <w:p w14:paraId="4C7D45B4" w14:textId="54BFCB6B" w:rsidR="00F726FA" w:rsidRPr="00C67281" w:rsidRDefault="00F726FA" w:rsidP="00C71524">
      <w:pPr>
        <w:pStyle w:val="LITlitera"/>
        <w:rPr>
          <w:rStyle w:val="Ppogrubienie"/>
          <w:b w:val="0"/>
        </w:rPr>
      </w:pPr>
      <w:r w:rsidRPr="00C67281">
        <w:rPr>
          <w:rStyle w:val="Ppogrubienie"/>
          <w:b w:val="0"/>
          <w:bCs w:val="0"/>
        </w:rPr>
        <w:t>a)</w:t>
      </w:r>
      <w:r w:rsidR="00B87CA5" w:rsidRPr="00C67281">
        <w:rPr>
          <w:rStyle w:val="Ppogrubienie"/>
          <w:b w:val="0"/>
          <w:bCs w:val="0"/>
        </w:rPr>
        <w:tab/>
      </w:r>
      <w:r w:rsidRPr="00C67281">
        <w:rPr>
          <w:rStyle w:val="Ppogrubienie"/>
          <w:b w:val="0"/>
          <w:bCs w:val="0"/>
        </w:rPr>
        <w:t>prowadz</w:t>
      </w:r>
      <w:r w:rsidR="000805FF">
        <w:rPr>
          <w:rStyle w:val="Ppogrubienie"/>
          <w:b w:val="0"/>
          <w:bCs w:val="0"/>
        </w:rPr>
        <w:t>e</w:t>
      </w:r>
      <w:r w:rsidRPr="00C67281">
        <w:rPr>
          <w:rStyle w:val="Ppogrubienie"/>
          <w:b w:val="0"/>
          <w:bCs w:val="0"/>
        </w:rPr>
        <w:t>nia naborów wniosków o udzielenie dotacji i dokonywania ich oceny,</w:t>
      </w:r>
    </w:p>
    <w:p w14:paraId="7CE7EA38" w14:textId="26F3B7FF" w:rsidR="00F726FA" w:rsidRPr="00C67281" w:rsidRDefault="00F726FA" w:rsidP="00C71524">
      <w:pPr>
        <w:pStyle w:val="LITlitera"/>
        <w:rPr>
          <w:rStyle w:val="Ppogrubienie"/>
          <w:b w:val="0"/>
        </w:rPr>
      </w:pPr>
      <w:r w:rsidRPr="00C67281">
        <w:rPr>
          <w:rStyle w:val="Ppogrubienie"/>
          <w:b w:val="0"/>
          <w:bCs w:val="0"/>
        </w:rPr>
        <w:t>b)</w:t>
      </w:r>
      <w:r w:rsidR="00B87CA5" w:rsidRPr="00C67281">
        <w:tab/>
      </w:r>
      <w:r w:rsidRPr="00C67281">
        <w:rPr>
          <w:rStyle w:val="Ppogrubienie"/>
          <w:b w:val="0"/>
          <w:bCs w:val="0"/>
        </w:rPr>
        <w:t>zawierania umów o udzielenie dotacji,</w:t>
      </w:r>
    </w:p>
    <w:p w14:paraId="681172C2" w14:textId="530ECF27" w:rsidR="00F726FA" w:rsidRPr="00C67281" w:rsidRDefault="00F726FA" w:rsidP="00C71524">
      <w:pPr>
        <w:pStyle w:val="LITlitera"/>
        <w:rPr>
          <w:rStyle w:val="Ppogrubienie"/>
          <w:b w:val="0"/>
        </w:rPr>
      </w:pPr>
      <w:r w:rsidRPr="00C67281">
        <w:rPr>
          <w:rStyle w:val="Ppogrubienie"/>
          <w:b w:val="0"/>
          <w:bCs w:val="0"/>
        </w:rPr>
        <w:lastRenderedPageBreak/>
        <w:t>c)</w:t>
      </w:r>
      <w:r w:rsidR="00B87CA5" w:rsidRPr="00C67281">
        <w:tab/>
      </w:r>
      <w:r w:rsidRPr="00C67281">
        <w:rPr>
          <w:rStyle w:val="Ppogrubienie"/>
          <w:b w:val="0"/>
          <w:bCs w:val="0"/>
        </w:rPr>
        <w:t>wypłaty przyznanych środków,</w:t>
      </w:r>
    </w:p>
    <w:p w14:paraId="006C659B" w14:textId="411E236B" w:rsidR="00F726FA" w:rsidRPr="00C67281" w:rsidRDefault="00F726FA" w:rsidP="00C71524">
      <w:pPr>
        <w:pStyle w:val="LITlitera"/>
        <w:rPr>
          <w:rStyle w:val="Ppogrubienie"/>
          <w:b w:val="0"/>
        </w:rPr>
      </w:pPr>
      <w:r w:rsidRPr="00C67281">
        <w:rPr>
          <w:rStyle w:val="Ppogrubienie"/>
          <w:b w:val="0"/>
          <w:bCs w:val="0"/>
        </w:rPr>
        <w:t>d)</w:t>
      </w:r>
      <w:r w:rsidR="00B87CA5" w:rsidRPr="00C67281">
        <w:tab/>
      </w:r>
      <w:r w:rsidRPr="00C67281">
        <w:rPr>
          <w:rStyle w:val="Ppogrubienie"/>
          <w:b w:val="0"/>
          <w:bCs w:val="0"/>
        </w:rPr>
        <w:t>prowadzenia kontroli i rozliczania udzielonych dotacji,</w:t>
      </w:r>
    </w:p>
    <w:p w14:paraId="598298B7" w14:textId="33073E4B" w:rsidR="00F726FA" w:rsidRPr="00C67281" w:rsidRDefault="00F726FA" w:rsidP="00C71524">
      <w:pPr>
        <w:pStyle w:val="LITlitera"/>
        <w:rPr>
          <w:rStyle w:val="Ppogrubienie"/>
          <w:b w:val="0"/>
        </w:rPr>
      </w:pPr>
      <w:r w:rsidRPr="00C67281">
        <w:rPr>
          <w:rStyle w:val="Ppogrubienie"/>
          <w:b w:val="0"/>
          <w:bCs w:val="0"/>
        </w:rPr>
        <w:t>e)</w:t>
      </w:r>
      <w:r w:rsidR="00B87CA5" w:rsidRPr="00C67281">
        <w:tab/>
      </w:r>
      <w:r w:rsidRPr="00C67281">
        <w:rPr>
          <w:rStyle w:val="Ppogrubienie"/>
          <w:b w:val="0"/>
          <w:bCs w:val="0"/>
        </w:rPr>
        <w:t>wydawania decyzji o zwrocie środków wraz z odsetka</w:t>
      </w:r>
      <w:r w:rsidR="000805FF">
        <w:rPr>
          <w:rStyle w:val="Ppogrubienie"/>
          <w:b w:val="0"/>
          <w:bCs w:val="0"/>
        </w:rPr>
        <w:t>mi</w:t>
      </w:r>
      <w:r w:rsidRPr="00C67281">
        <w:rPr>
          <w:rStyle w:val="Ppogrubienie"/>
          <w:b w:val="0"/>
          <w:bCs w:val="0"/>
        </w:rPr>
        <w:t xml:space="preserve"> oraz rozpatrywania odwołań od tych decyzji</w:t>
      </w:r>
      <w:r w:rsidR="71A66E20" w:rsidRPr="00C67281">
        <w:rPr>
          <w:rStyle w:val="Ppogrubienie"/>
          <w:b w:val="0"/>
          <w:bCs w:val="0"/>
        </w:rPr>
        <w:t>;</w:t>
      </w:r>
    </w:p>
    <w:p w14:paraId="0229812C" w14:textId="5A66E040" w:rsidR="00F726FA" w:rsidRPr="00C67281" w:rsidRDefault="09325DB5" w:rsidP="00C71524">
      <w:pPr>
        <w:pStyle w:val="PKTpunkt"/>
        <w:rPr>
          <w:rStyle w:val="Ppogrubienie"/>
          <w:b w:val="0"/>
        </w:rPr>
      </w:pPr>
      <w:r w:rsidRPr="00C67281">
        <w:rPr>
          <w:rStyle w:val="Ppogrubienie"/>
          <w:b w:val="0"/>
          <w:bCs w:val="0"/>
        </w:rPr>
        <w:t>3)</w:t>
      </w:r>
      <w:r w:rsidR="00F726FA" w:rsidRPr="00C67281">
        <w:tab/>
      </w:r>
      <w:r w:rsidR="00F726FA" w:rsidRPr="00C67281">
        <w:rPr>
          <w:rStyle w:val="Ppogrubienie"/>
          <w:b w:val="0"/>
          <w:bCs w:val="0"/>
        </w:rPr>
        <w:t xml:space="preserve">zasady sprawowania kontroli przez ministra </w:t>
      </w:r>
      <w:r w:rsidR="00F726FA" w:rsidRPr="00C67281">
        <w:t>właściwego</w:t>
      </w:r>
      <w:r w:rsidR="00F726FA" w:rsidRPr="00C67281">
        <w:rPr>
          <w:rStyle w:val="Ppogrubienie"/>
          <w:b w:val="0"/>
          <w:bCs w:val="0"/>
        </w:rPr>
        <w:t xml:space="preserve"> do spraw informatyzacji powierzonych zadań.</w:t>
      </w:r>
    </w:p>
    <w:p w14:paraId="0D4D2804" w14:textId="0C99E2AB" w:rsidR="00F726FA" w:rsidRPr="00C67281" w:rsidRDefault="00B87CA5" w:rsidP="00C71524">
      <w:pPr>
        <w:pStyle w:val="USTustnpkodeksu"/>
        <w:rPr>
          <w:rStyle w:val="Ppogrubienie"/>
          <w:b w:val="0"/>
          <w:bCs w:val="0"/>
        </w:rPr>
      </w:pPr>
      <w:r w:rsidRPr="00C67281">
        <w:rPr>
          <w:rStyle w:val="Ppogrubienie"/>
          <w:b w:val="0"/>
        </w:rPr>
        <w:t>2</w:t>
      </w:r>
      <w:r w:rsidR="00F726FA" w:rsidRPr="00C67281">
        <w:rPr>
          <w:rStyle w:val="Ppogrubienie"/>
          <w:b w:val="0"/>
        </w:rPr>
        <w:t>.</w:t>
      </w:r>
      <w:r w:rsidR="00F726FA" w:rsidRPr="00C67281">
        <w:rPr>
          <w:rStyle w:val="Ppogrubienie"/>
          <w:b w:val="0"/>
        </w:rPr>
        <w:tab/>
        <w:t>Podmiot, któremu powierzono realizację zadań, ponosi odpowiedzialność za ich należyte wykonanie zgodnie z zawartą umową oraz przepisami.</w:t>
      </w:r>
    </w:p>
    <w:p w14:paraId="26AC0B2C" w14:textId="48DA4390" w:rsidR="00F726FA" w:rsidRPr="00C67281" w:rsidRDefault="00B87CA5" w:rsidP="00C71524">
      <w:pPr>
        <w:pStyle w:val="USTustnpkodeksu"/>
        <w:rPr>
          <w:rStyle w:val="Ppogrubienie"/>
          <w:b w:val="0"/>
        </w:rPr>
      </w:pPr>
      <w:r w:rsidRPr="00C67281">
        <w:rPr>
          <w:rStyle w:val="Ppogrubienie"/>
          <w:b w:val="0"/>
          <w:bCs w:val="0"/>
        </w:rPr>
        <w:t>3</w:t>
      </w:r>
      <w:r w:rsidR="00F726FA" w:rsidRPr="00C67281">
        <w:rPr>
          <w:rStyle w:val="Ppogrubienie"/>
          <w:b w:val="0"/>
        </w:rPr>
        <w:t>.</w:t>
      </w:r>
      <w:r w:rsidR="00F726FA" w:rsidRPr="00C67281">
        <w:rPr>
          <w:rStyle w:val="Ppogrubienie"/>
          <w:b w:val="0"/>
        </w:rPr>
        <w:tab/>
        <w:t xml:space="preserve">Minister właściwy do spraw informatyzacji sprawuje nadzór nad legalnością, gospodarnością i rzetelnością wykonywania zadań przez podmiot, któremu je powierzono. </w:t>
      </w:r>
    </w:p>
    <w:p w14:paraId="28BC56C8" w14:textId="7B468855" w:rsidR="002022F8" w:rsidRPr="00C67281" w:rsidRDefault="00F726FA" w:rsidP="024F37FA">
      <w:pPr>
        <w:pStyle w:val="ARTartustawynprozporzdzenia"/>
        <w:rPr>
          <w:rStyle w:val="Ppogrubienie"/>
          <w:b w:val="0"/>
        </w:rPr>
      </w:pPr>
      <w:r w:rsidRPr="00C67281">
        <w:rPr>
          <w:rStyle w:val="Ppogrubienie"/>
        </w:rPr>
        <w:t xml:space="preserve">Art. </w:t>
      </w:r>
      <w:r w:rsidR="00C45A81" w:rsidRPr="00C67281">
        <w:rPr>
          <w:rStyle w:val="Ppogrubienie"/>
        </w:rPr>
        <w:t>1</w:t>
      </w:r>
      <w:r w:rsidR="7A66E984" w:rsidRPr="00C67281">
        <w:rPr>
          <w:rStyle w:val="Ppogrubienie"/>
        </w:rPr>
        <w:t>5</w:t>
      </w:r>
      <w:r w:rsidR="004D18F0" w:rsidRPr="00C67281">
        <w:t xml:space="preserve">. </w:t>
      </w:r>
      <w:r w:rsidR="008070A7" w:rsidRPr="00C67281">
        <w:t>1.</w:t>
      </w:r>
      <w:r w:rsidRPr="00C67281">
        <w:tab/>
      </w:r>
      <w:r w:rsidR="008070A7" w:rsidRPr="00C67281">
        <w:t xml:space="preserve"> </w:t>
      </w:r>
      <w:r w:rsidR="002022F8" w:rsidRPr="00C67281">
        <w:t>Podmi</w:t>
      </w:r>
      <w:r w:rsidR="006D53A8" w:rsidRPr="00C67281">
        <w:t xml:space="preserve">ot </w:t>
      </w:r>
      <w:r w:rsidR="002022F8" w:rsidRPr="00C67281">
        <w:t>publiczn</w:t>
      </w:r>
      <w:r w:rsidR="006D53A8" w:rsidRPr="00C67281">
        <w:t>y</w:t>
      </w:r>
      <w:r w:rsidR="002022F8" w:rsidRPr="00C67281">
        <w:t xml:space="preserve">, </w:t>
      </w:r>
      <w:r w:rsidR="006D53A8" w:rsidRPr="00C67281">
        <w:t>któremu</w:t>
      </w:r>
      <w:r w:rsidR="002022F8" w:rsidRPr="00C67281">
        <w:t xml:space="preserve"> minister właściwy do spraw informatyzacji udostępnił </w:t>
      </w:r>
      <w:r w:rsidR="008070A7" w:rsidRPr="00C67281">
        <w:t xml:space="preserve">przed dniem wejścia w życie niniejszej ustawy, </w:t>
      </w:r>
      <w:r w:rsidR="002022F8" w:rsidRPr="00C67281">
        <w:t>usługę, o której mowa w art. 3 ust. 1 ustawy z dnia 9 marca 2023 r. o zmianie ustawy o dostępności cyfrowej stron internetowych i aplikacji mobilnych podmiotów publicznych oraz ustawy – Ordynacja podatkowa</w:t>
      </w:r>
      <w:r w:rsidR="004D0819" w:rsidRPr="00C67281">
        <w:t xml:space="preserve"> (Dz. U. </w:t>
      </w:r>
      <w:r w:rsidR="002C0B39" w:rsidRPr="00C67281">
        <w:t>poz. 511 oraz z 2024 r. poz. 1717)</w:t>
      </w:r>
      <w:r w:rsidR="002022F8" w:rsidRPr="00C67281">
        <w:t xml:space="preserve">, </w:t>
      </w:r>
      <w:r w:rsidR="008070A7" w:rsidRPr="00C67281">
        <w:t>staj</w:t>
      </w:r>
      <w:r w:rsidR="006D53A8" w:rsidRPr="00C67281">
        <w:t>e</w:t>
      </w:r>
      <w:r w:rsidR="008070A7" w:rsidRPr="00C67281">
        <w:t xml:space="preserve"> się</w:t>
      </w:r>
      <w:r w:rsidR="002022F8" w:rsidRPr="00C67281">
        <w:t xml:space="preserve"> </w:t>
      </w:r>
      <w:r w:rsidR="008070A7" w:rsidRPr="00C67281">
        <w:t>z dniem wejścia w życie niniejszej ustawy podmiotem publicznym</w:t>
      </w:r>
      <w:r w:rsidR="004D0819" w:rsidRPr="00C67281">
        <w:t>,</w:t>
      </w:r>
      <w:r w:rsidR="008070A7" w:rsidRPr="00C67281">
        <w:t xml:space="preserve"> </w:t>
      </w:r>
      <w:r w:rsidR="004D0819" w:rsidRPr="00C67281">
        <w:t xml:space="preserve">któremu </w:t>
      </w:r>
      <w:r w:rsidR="008070A7" w:rsidRPr="00C67281">
        <w:t xml:space="preserve">minister właściwy do spraw informatyzacji wyraził zgodę na </w:t>
      </w:r>
      <w:r w:rsidR="00BE2A84">
        <w:t>świadczenie</w:t>
      </w:r>
      <w:r w:rsidR="008070A7" w:rsidRPr="00C67281">
        <w:t xml:space="preserve"> usługi ePłatności, o której mowa w art. </w:t>
      </w:r>
      <w:r w:rsidR="006D53A8" w:rsidRPr="00C67281">
        <w:t>9 ust. 6.</w:t>
      </w:r>
    </w:p>
    <w:p w14:paraId="7E80AD03" w14:textId="31F52390" w:rsidR="006D53A8" w:rsidRPr="00C67281" w:rsidRDefault="008070A7" w:rsidP="006D53A8">
      <w:pPr>
        <w:pStyle w:val="USTustnpkodeksu"/>
      </w:pPr>
      <w:r w:rsidRPr="00C67281">
        <w:t>2.</w:t>
      </w:r>
      <w:r w:rsidR="004D1427" w:rsidRPr="00C67281">
        <w:tab/>
      </w:r>
      <w:r w:rsidRPr="00C67281">
        <w:t xml:space="preserve">W terminie </w:t>
      </w:r>
      <w:r w:rsidR="000805FF">
        <w:t>2</w:t>
      </w:r>
      <w:r w:rsidR="006D53A8" w:rsidRPr="00C67281">
        <w:t xml:space="preserve"> tygodni </w:t>
      </w:r>
      <w:r w:rsidRPr="00C67281">
        <w:t xml:space="preserve">od dnia wejścia w życie niniejszej ustawy minister właściwy do spraw informatyzacji poinformuje podmioty, o których mowa w ust. 1, </w:t>
      </w:r>
      <w:r w:rsidR="00BE2A84">
        <w:t>o niespełnianiu</w:t>
      </w:r>
      <w:r w:rsidR="002C0B39" w:rsidRPr="00C67281">
        <w:t xml:space="preserve"> </w:t>
      </w:r>
      <w:r w:rsidR="006D53A8" w:rsidRPr="00C67281">
        <w:t>warunków określonych w ogólnych warunkach</w:t>
      </w:r>
      <w:r w:rsidR="002C0B39" w:rsidRPr="00C67281">
        <w:t xml:space="preserve"> świadczenia usługi ePłatności, o których mowa w art. 9 ust. 1. </w:t>
      </w:r>
    </w:p>
    <w:p w14:paraId="5C3F6AFD" w14:textId="64A0C23B" w:rsidR="006D53A8" w:rsidRPr="00C67281" w:rsidRDefault="006D53A8" w:rsidP="000B2CAE">
      <w:pPr>
        <w:pStyle w:val="USTustnpkodeksu"/>
      </w:pPr>
      <w:r w:rsidRPr="00C67281">
        <w:t>3. W przypadku</w:t>
      </w:r>
      <w:r w:rsidR="004D1427" w:rsidRPr="00C67281">
        <w:t xml:space="preserve">, o którym mowa w ust. </w:t>
      </w:r>
      <w:r w:rsidR="002C0B39" w:rsidRPr="00C67281">
        <w:t>2</w:t>
      </w:r>
      <w:r w:rsidR="004D1427" w:rsidRPr="00C67281">
        <w:t>, w terminie 3 miesięcy od dnia przekazania informacji, minister właściwy do spraw informatyzacji cofa w drodze decyzji zgodę na świadczenie usługi ePłatności.</w:t>
      </w:r>
    </w:p>
    <w:p w14:paraId="10A9FE4B" w14:textId="3E0D6C55" w:rsidR="004D18F0" w:rsidRPr="00C67281" w:rsidRDefault="002022F8" w:rsidP="004D18F0">
      <w:pPr>
        <w:pStyle w:val="ARTartustawynprozporzdzenia"/>
      </w:pPr>
      <w:r w:rsidRPr="00C67281">
        <w:rPr>
          <w:b/>
          <w:bCs/>
        </w:rPr>
        <w:t>Art.</w:t>
      </w:r>
      <w:r w:rsidRPr="00C67281">
        <w:t xml:space="preserve"> </w:t>
      </w:r>
      <w:r w:rsidR="004D1427" w:rsidRPr="00C67281">
        <w:rPr>
          <w:b/>
          <w:bCs/>
        </w:rPr>
        <w:t>1</w:t>
      </w:r>
      <w:r w:rsidR="19008C16" w:rsidRPr="00C67281">
        <w:rPr>
          <w:b/>
          <w:bCs/>
        </w:rPr>
        <w:t>6</w:t>
      </w:r>
      <w:r w:rsidR="004D1427" w:rsidRPr="00C67281">
        <w:rPr>
          <w:b/>
          <w:bCs/>
        </w:rPr>
        <w:t>.</w:t>
      </w:r>
      <w:r w:rsidRPr="00C67281">
        <w:tab/>
      </w:r>
      <w:r w:rsidR="004D18F0" w:rsidRPr="00C67281">
        <w:t>Ustawa wchodzi w życi</w:t>
      </w:r>
      <w:r w:rsidR="0026551C" w:rsidRPr="00C67281">
        <w:t xml:space="preserve">e </w:t>
      </w:r>
      <w:r w:rsidR="00403938" w:rsidRPr="00C67281">
        <w:t>z dniem 1 stycznia 2026 r.</w:t>
      </w:r>
    </w:p>
    <w:p w14:paraId="25C6942E" w14:textId="77777777" w:rsidR="00055083" w:rsidRPr="00C67281" w:rsidRDefault="00055083" w:rsidP="004D18F0">
      <w:pPr>
        <w:pStyle w:val="ARTartustawynprozporzdzenia"/>
      </w:pPr>
    </w:p>
    <w:p w14:paraId="4C2DD610" w14:textId="77777777" w:rsidR="00055083" w:rsidRPr="00C67281" w:rsidRDefault="00055083" w:rsidP="004D18F0">
      <w:pPr>
        <w:pStyle w:val="ARTartustawynprozporzdzenia"/>
      </w:pPr>
    </w:p>
    <w:p w14:paraId="6A76035A" w14:textId="77777777" w:rsidR="00055083" w:rsidRPr="00C67281" w:rsidRDefault="00055083" w:rsidP="004D18F0">
      <w:pPr>
        <w:pStyle w:val="ARTartustawynprozporzdzenia"/>
      </w:pPr>
    </w:p>
    <w:p w14:paraId="3FC3A095" w14:textId="77777777" w:rsidR="00055083" w:rsidRPr="00C67281" w:rsidRDefault="00055083" w:rsidP="004D18F0">
      <w:pPr>
        <w:pStyle w:val="ARTartustawynprozporzdzenia"/>
      </w:pPr>
    </w:p>
    <w:p w14:paraId="18E488C1" w14:textId="77777777" w:rsidR="00055083" w:rsidRPr="00C67281" w:rsidRDefault="00055083" w:rsidP="004D18F0">
      <w:pPr>
        <w:pStyle w:val="ARTartustawynprozporzdzenia"/>
      </w:pPr>
    </w:p>
    <w:p w14:paraId="0F57C970" w14:textId="77777777" w:rsidR="00055083" w:rsidRPr="00C67281" w:rsidRDefault="00055083" w:rsidP="004D18F0">
      <w:pPr>
        <w:pStyle w:val="ARTartustawynprozporzdzenia"/>
      </w:pPr>
    </w:p>
    <w:p w14:paraId="01B4E75F" w14:textId="77777777" w:rsidR="00987408" w:rsidRPr="00C67281" w:rsidRDefault="00987408" w:rsidP="00987408">
      <w:pPr>
        <w:pStyle w:val="OZNPARAFYADNOTACJE"/>
        <w:rPr>
          <w:rFonts w:cs="Times New Roman"/>
        </w:rPr>
      </w:pPr>
      <w:r w:rsidRPr="00C67281">
        <w:rPr>
          <w:rFonts w:cs="Times New Roman"/>
        </w:rPr>
        <w:lastRenderedPageBreak/>
        <w:t>Za zgodność pod względem prawnym,</w:t>
      </w:r>
    </w:p>
    <w:p w14:paraId="141CE58E" w14:textId="77777777" w:rsidR="00987408" w:rsidRPr="00C67281" w:rsidRDefault="00987408" w:rsidP="00987408">
      <w:pPr>
        <w:pStyle w:val="OZNPARAFYADNOTACJE"/>
        <w:rPr>
          <w:rFonts w:cs="Times New Roman"/>
        </w:rPr>
      </w:pPr>
      <w:r w:rsidRPr="00C67281">
        <w:rPr>
          <w:rFonts w:cs="Times New Roman"/>
        </w:rPr>
        <w:t>legislacyjnym i redakcyjnym</w:t>
      </w:r>
    </w:p>
    <w:p w14:paraId="339F3B5A" w14:textId="77777777" w:rsidR="00987408" w:rsidRPr="00C67281" w:rsidRDefault="00987408" w:rsidP="00987408">
      <w:pPr>
        <w:pStyle w:val="OZNPARAFYADNOTACJE"/>
        <w:rPr>
          <w:rFonts w:cs="Times New Roman"/>
        </w:rPr>
      </w:pPr>
      <w:r w:rsidRPr="00C67281">
        <w:rPr>
          <w:rFonts w:cs="Times New Roman"/>
        </w:rPr>
        <w:t>Magdalena Witkowska-Krzymowska</w:t>
      </w:r>
    </w:p>
    <w:p w14:paraId="7EB4B01A" w14:textId="77777777" w:rsidR="00987408" w:rsidRPr="00C67281" w:rsidRDefault="00987408" w:rsidP="00987408">
      <w:pPr>
        <w:pStyle w:val="OZNPARAFYADNOTACJE"/>
        <w:rPr>
          <w:rFonts w:cs="Times New Roman"/>
        </w:rPr>
      </w:pPr>
      <w:r w:rsidRPr="00C67281">
        <w:rPr>
          <w:rFonts w:cs="Times New Roman"/>
        </w:rPr>
        <w:t>Dyrektor Departamentu Prawnego</w:t>
      </w:r>
    </w:p>
    <w:p w14:paraId="74D4CF6D" w14:textId="77777777" w:rsidR="00987408" w:rsidRPr="00C67281" w:rsidRDefault="00987408" w:rsidP="00987408">
      <w:pPr>
        <w:pStyle w:val="OZNPARAFYADNOTACJE"/>
        <w:rPr>
          <w:rFonts w:cs="Times New Roman"/>
        </w:rPr>
      </w:pPr>
      <w:r w:rsidRPr="00C67281">
        <w:rPr>
          <w:rFonts w:cs="Times New Roman"/>
        </w:rPr>
        <w:t>w Ministerstwie Cyfryzacji</w:t>
      </w:r>
    </w:p>
    <w:p w14:paraId="23267DB6" w14:textId="0E7C880E" w:rsidR="00135589" w:rsidRDefault="00987408" w:rsidP="00987408">
      <w:pPr>
        <w:pStyle w:val="PKTpunkt"/>
        <w:rPr>
          <w:rFonts w:ascii="Times New Roman" w:hAnsi="Times New Roman" w:cs="Times New Roman"/>
          <w:sz w:val="20"/>
        </w:rPr>
      </w:pPr>
      <w:r w:rsidRPr="00C67281">
        <w:rPr>
          <w:rFonts w:ascii="Times New Roman" w:hAnsi="Times New Roman" w:cs="Times New Roman"/>
          <w:sz w:val="20"/>
        </w:rPr>
        <w:t>/podpisano elektronicznie/</w:t>
      </w:r>
    </w:p>
    <w:p w14:paraId="5A7C40B3" w14:textId="77777777" w:rsidR="00135589" w:rsidRDefault="00135589">
      <w:pPr>
        <w:widowControl/>
        <w:autoSpaceDE/>
        <w:autoSpaceDN/>
        <w:adjustRightInd/>
        <w:rPr>
          <w:rFonts w:cs="Times New Roman"/>
          <w:bCs/>
          <w:sz w:val="20"/>
        </w:rPr>
      </w:pPr>
      <w:r>
        <w:rPr>
          <w:rFonts w:cs="Times New Roman"/>
          <w:sz w:val="20"/>
        </w:rPr>
        <w:br w:type="page"/>
      </w:r>
    </w:p>
    <w:p w14:paraId="3C2264A9" w14:textId="77777777" w:rsidR="00987408" w:rsidRPr="00736EC9" w:rsidRDefault="00987408" w:rsidP="00987408">
      <w:pPr>
        <w:pStyle w:val="PKTpunkt"/>
        <w:rPr>
          <w:rFonts w:ascii="Times New Roman" w:hAnsi="Times New Roman" w:cs="Times New Roman"/>
          <w:sz w:val="20"/>
        </w:rPr>
      </w:pPr>
    </w:p>
    <w:p w14:paraId="08A871BA" w14:textId="77777777" w:rsidR="004D2913" w:rsidRDefault="004D2913" w:rsidP="004D2913">
      <w:pPr>
        <w:jc w:val="center"/>
      </w:pPr>
      <w:r>
        <w:t>UZASADNIENIE</w:t>
      </w:r>
    </w:p>
    <w:p w14:paraId="411F9ABA" w14:textId="77777777" w:rsidR="004D2913" w:rsidRPr="003E3401" w:rsidRDefault="004D2913" w:rsidP="004D2913">
      <w:pPr>
        <w:jc w:val="center"/>
      </w:pPr>
    </w:p>
    <w:p w14:paraId="747FA736" w14:textId="77777777" w:rsidR="004D2913" w:rsidRDefault="004D2913" w:rsidP="004D2913">
      <w:pPr>
        <w:pStyle w:val="Akapitzlist"/>
        <w:ind w:left="0" w:firstLine="426"/>
        <w:jc w:val="both"/>
      </w:pPr>
      <w:r>
        <w:t xml:space="preserve">Projekt ustawy o usłudze ePłatności wprowadza podstawę prawną do powszechnego świadczenia i jednolitego udostępniania tej usługi wszystkim zainteresowanym podmiotom publicznym w zakresie opłat za należności przysługujące na rzecz tych podmiotów. </w:t>
      </w:r>
    </w:p>
    <w:p w14:paraId="603EB40F" w14:textId="77777777" w:rsidR="004D2913" w:rsidRDefault="004D2913" w:rsidP="004D2913">
      <w:pPr>
        <w:pStyle w:val="Akapitzlist"/>
        <w:ind w:left="0" w:firstLine="426"/>
        <w:jc w:val="both"/>
      </w:pPr>
      <w:r>
        <w:t xml:space="preserve">Projekt ustawy reguluje zakres usługi ePłatności, która będzie publiczną </w:t>
      </w:r>
      <w:r w:rsidRPr="00104F5C">
        <w:t>usług</w:t>
      </w:r>
      <w:r>
        <w:t>ą</w:t>
      </w:r>
      <w:r w:rsidRPr="00104F5C">
        <w:t xml:space="preserve"> online</w:t>
      </w:r>
      <w:r>
        <w:t xml:space="preserve"> udostępnioną przez ministra właściwego do spraw informatyzacji (Ministra Cyfryzacji),</w:t>
      </w:r>
      <w:r w:rsidRPr="00104F5C">
        <w:t xml:space="preserve"> umożliwiając</w:t>
      </w:r>
      <w:r>
        <w:t>ą</w:t>
      </w:r>
      <w:r w:rsidRPr="00104F5C">
        <w:t xml:space="preserve"> realizację elektronicznych transakcji płatniczych dotyczących należności pobieranych przez podmioty publiczne</w:t>
      </w:r>
      <w:r>
        <w:t xml:space="preserve">. Projekt wskazuje też czym jest Platforma ePłatności, definiując ją jako system teleinformatyczny prowadzony przez Ministra Cyfryzacji </w:t>
      </w:r>
      <w:r w:rsidRPr="00022F31">
        <w:t>zapewniający funkcjonalności niezbędne do działania</w:t>
      </w:r>
      <w:r>
        <w:t xml:space="preserve"> usługi ePłatności.</w:t>
      </w:r>
    </w:p>
    <w:p w14:paraId="608E7D96" w14:textId="77777777" w:rsidR="004D2913" w:rsidRDefault="004D2913" w:rsidP="004D2913">
      <w:pPr>
        <w:pStyle w:val="Akapitzlist"/>
        <w:ind w:left="0" w:firstLine="426"/>
        <w:jc w:val="both"/>
      </w:pPr>
      <w:r>
        <w:t>Ponadto projekt ustawy wprowadza zasady korzystania z usługi ePłatności przez jej użytkowników oraz zasady i tryb udostępnienia przez ministra właściwego do spraw informatyzacji usługi ePłatności podmiotom publicznym.</w:t>
      </w:r>
    </w:p>
    <w:p w14:paraId="5574D109" w14:textId="77777777" w:rsidR="004D2913" w:rsidRDefault="004D2913" w:rsidP="004D2913">
      <w:pPr>
        <w:pStyle w:val="Akapitzlist"/>
        <w:ind w:left="0" w:firstLine="426"/>
        <w:jc w:val="both"/>
      </w:pPr>
      <w:r>
        <w:t>Zakres usługi ePłatności będzie obejmował:</w:t>
      </w:r>
    </w:p>
    <w:p w14:paraId="7D843589" w14:textId="77777777" w:rsidR="004D2913" w:rsidRPr="00F3003B" w:rsidRDefault="004D2913" w:rsidP="004D2913">
      <w:pPr>
        <w:pStyle w:val="PKTpunkt"/>
      </w:pPr>
      <w:r>
        <w:t>1)</w:t>
      </w:r>
      <w:r>
        <w:tab/>
      </w:r>
      <w:r w:rsidRPr="00F3003B">
        <w:t xml:space="preserve">udostępnienie użytkownikowi usługi ePłatności przez podmiot publiczny informacji </w:t>
      </w:r>
      <w:r>
        <w:br/>
      </w:r>
      <w:r w:rsidRPr="00F3003B">
        <w:t>o należnościach; </w:t>
      </w:r>
    </w:p>
    <w:p w14:paraId="5406BEDB" w14:textId="77777777" w:rsidR="004D2913" w:rsidRPr="00F3003B" w:rsidRDefault="004D2913" w:rsidP="004D2913">
      <w:pPr>
        <w:pStyle w:val="PKTpunkt"/>
      </w:pPr>
      <w:r w:rsidRPr="00F3003B">
        <w:t>2)</w:t>
      </w:r>
      <w:r w:rsidRPr="00F3003B">
        <w:tab/>
        <w:t>dokonanie online bezprowizyjnej opłaty należności; </w:t>
      </w:r>
    </w:p>
    <w:p w14:paraId="21D4BB97" w14:textId="77777777" w:rsidR="004D2913" w:rsidRPr="00F3003B" w:rsidRDefault="004D2913" w:rsidP="004D2913">
      <w:pPr>
        <w:pStyle w:val="PKTpunkt"/>
      </w:pPr>
      <w:r w:rsidRPr="00F3003B">
        <w:t>3)</w:t>
      </w:r>
      <w:r w:rsidRPr="00F3003B">
        <w:tab/>
        <w:t>udost</w:t>
      </w:r>
      <w:r>
        <w:t>ę</w:t>
      </w:r>
      <w:r w:rsidRPr="00F3003B">
        <w:t>pnienie informacji o statusie płatności; </w:t>
      </w:r>
    </w:p>
    <w:p w14:paraId="792D5623" w14:textId="77777777" w:rsidR="004D2913" w:rsidRPr="00F3003B" w:rsidRDefault="004D2913" w:rsidP="004D2913">
      <w:pPr>
        <w:pStyle w:val="PKTpunkt"/>
      </w:pPr>
      <w:r w:rsidRPr="00F3003B">
        <w:t>4)</w:t>
      </w:r>
      <w:r w:rsidRPr="00F3003B">
        <w:tab/>
        <w:t>wystawienie dowodu potwierdzającego dokonanie płatności; </w:t>
      </w:r>
    </w:p>
    <w:p w14:paraId="5B4E6517" w14:textId="77777777" w:rsidR="004D2913" w:rsidRPr="00F3003B" w:rsidRDefault="004D2913" w:rsidP="004D2913">
      <w:pPr>
        <w:pStyle w:val="PKTpunkt"/>
      </w:pPr>
      <w:r w:rsidRPr="00F3003B">
        <w:t>5)</w:t>
      </w:r>
      <w:r w:rsidRPr="00F3003B">
        <w:tab/>
        <w:t>udostępnienie informacji o historii płatności należności udostępnionej w usłudze ePłatności; </w:t>
      </w:r>
    </w:p>
    <w:p w14:paraId="6988FE3E" w14:textId="77777777" w:rsidR="004D2913" w:rsidRDefault="004D2913" w:rsidP="004D2913">
      <w:pPr>
        <w:pStyle w:val="PKTpunkt"/>
        <w:rPr>
          <w:rFonts w:ascii="Segoe UI" w:hAnsi="Segoe UI" w:cs="Segoe UI"/>
          <w:sz w:val="18"/>
          <w:szCs w:val="18"/>
        </w:rPr>
      </w:pPr>
      <w:r w:rsidRPr="00F3003B">
        <w:t>6)</w:t>
      </w:r>
      <w:r w:rsidRPr="00F3003B">
        <w:tab/>
        <w:t>udostępnienie</w:t>
      </w:r>
      <w:r>
        <w:rPr>
          <w:rStyle w:val="normaltextrun"/>
          <w:rFonts w:cs="Times"/>
        </w:rPr>
        <w:t xml:space="preserve"> innych rozwiązań służących realizacji elektronicznych transakcji płatniczych.</w:t>
      </w:r>
      <w:r>
        <w:rPr>
          <w:rStyle w:val="eop"/>
          <w:rFonts w:cs="Times"/>
        </w:rPr>
        <w:t> </w:t>
      </w:r>
    </w:p>
    <w:p w14:paraId="478E7706" w14:textId="77777777" w:rsidR="004D2913" w:rsidRPr="00E10665" w:rsidRDefault="004D2913" w:rsidP="004D2913">
      <w:pPr>
        <w:pStyle w:val="ARTartustawynprozporzdzenia"/>
      </w:pPr>
      <w:r>
        <w:t xml:space="preserve">Projekt ustawy precyzuje również </w:t>
      </w:r>
      <w:r w:rsidRPr="00E10665">
        <w:t>termin dokonani</w:t>
      </w:r>
      <w:r>
        <w:t>a</w:t>
      </w:r>
      <w:r w:rsidRPr="00E10665">
        <w:t xml:space="preserve"> płatności</w:t>
      </w:r>
      <w:r>
        <w:t xml:space="preserve"> – w celu uniknięcia wątpliwości w tym zakresie. P</w:t>
      </w:r>
      <w:r w:rsidRPr="00E10665">
        <w:t>łatność zrealizowana przy wykorzystaniu usługi</w:t>
      </w:r>
      <w:r>
        <w:t xml:space="preserve"> </w:t>
      </w:r>
      <w:r w:rsidRPr="009352AB">
        <w:t>e</w:t>
      </w:r>
      <w:r>
        <w:t>P</w:t>
      </w:r>
      <w:r w:rsidRPr="009352AB">
        <w:t>łatności</w:t>
      </w:r>
      <w:r w:rsidRPr="009352AB" w:rsidDel="009352AB">
        <w:t xml:space="preserve"> </w:t>
      </w:r>
      <w:r>
        <w:t>będzie</w:t>
      </w:r>
      <w:r w:rsidRPr="00E10665">
        <w:t xml:space="preserve"> dokonana w dniu:</w:t>
      </w:r>
    </w:p>
    <w:p w14:paraId="3F790D9A" w14:textId="77777777" w:rsidR="004D2913" w:rsidRPr="00E10665" w:rsidRDefault="004D2913" w:rsidP="004D2913">
      <w:pPr>
        <w:pStyle w:val="PKTpunkt"/>
      </w:pPr>
      <w:r w:rsidRPr="00E10665">
        <w:t>1)</w:t>
      </w:r>
      <w:r>
        <w:tab/>
      </w:r>
      <w:r w:rsidRPr="00E10665">
        <w:t>uzyskania potwierdzenia autoryzacji transakcji płatniczej, o której mowa w art. 40 ust. 1 ustawy z dnia 19 sierpnia 2011 r. o usługach płatniczych</w:t>
      </w:r>
      <w:r>
        <w:t xml:space="preserve"> </w:t>
      </w:r>
      <w:r w:rsidRPr="00254FC7">
        <w:t>(Dz. U. z 202</w:t>
      </w:r>
      <w:r>
        <w:t>5</w:t>
      </w:r>
      <w:r w:rsidRPr="00254FC7">
        <w:t xml:space="preserve"> r. poz. </w:t>
      </w:r>
      <w:r>
        <w:t xml:space="preserve">611 </w:t>
      </w:r>
      <w:r>
        <w:br/>
        <w:t>i 1069</w:t>
      </w:r>
      <w:r w:rsidRPr="00254FC7">
        <w:t>)</w:t>
      </w:r>
      <w:r>
        <w:t>,</w:t>
      </w:r>
      <w:r w:rsidRPr="00E10665">
        <w:t xml:space="preserve"> lub</w:t>
      </w:r>
    </w:p>
    <w:p w14:paraId="220BA06B" w14:textId="77777777" w:rsidR="004D2913" w:rsidRDefault="004D2913" w:rsidP="004D2913">
      <w:pPr>
        <w:pStyle w:val="PKTpunkt"/>
      </w:pPr>
      <w:r w:rsidRPr="00E10665">
        <w:t>2)</w:t>
      </w:r>
      <w:r>
        <w:tab/>
      </w:r>
      <w:r w:rsidRPr="00E10665">
        <w:t xml:space="preserve">zainicjowania transakcji przez odbiorcę, jeżeli płatnik nie odwołał zlecenia zgodnie </w:t>
      </w:r>
      <w:r>
        <w:br/>
      </w:r>
      <w:r w:rsidRPr="00E10665">
        <w:t>z art. 51 ust. 3 ustawy z dnia 19 sierpnia 2011 r. o usługach płatniczych.</w:t>
      </w:r>
    </w:p>
    <w:p w14:paraId="3315E9AF" w14:textId="77777777" w:rsidR="004D2913" w:rsidRPr="002C58D0" w:rsidRDefault="004D2913" w:rsidP="004D2913">
      <w:pPr>
        <w:pStyle w:val="ARTartustawynprozporzdzenia"/>
        <w:spacing w:after="120"/>
      </w:pPr>
      <w:r>
        <w:lastRenderedPageBreak/>
        <w:t xml:space="preserve">Użytkownik usługi ePłatności (po tym jak już podmiot publiczny spełni warunki do przystąpienia do tej usługi, a więc możliwe będzie zamieszczenie w niej należności) będzie mógł zrealizować płatność za należność na rzecz podmiotu publicznego z wykorzystaniem usługi ePłatności, po wcześniejszym uwierzytelnieniu </w:t>
      </w:r>
      <w:r w:rsidRPr="002678B9">
        <w:t xml:space="preserve">w sposób określony w art. 20a ust. 1 </w:t>
      </w:r>
      <w:r>
        <w:br/>
      </w:r>
      <w:r w:rsidRPr="002678B9">
        <w:t xml:space="preserve">pkt 1 lub 2 ustawy z dnia 17 lutego 2005 r. o informatyzacji działalności podmiotów realizujących zadania publiczne </w:t>
      </w:r>
      <w:r w:rsidRPr="002C58D0">
        <w:rPr>
          <w:bCs/>
        </w:rPr>
        <w:t>(Dz. U. z 2024 r. poz. 1557 i 1717 oraz z 2025 r. poz. 1006, 1019 i 1158)</w:t>
      </w:r>
      <w:r>
        <w:rPr>
          <w:bCs/>
        </w:rPr>
        <w:t xml:space="preserve"> </w:t>
      </w:r>
      <w:r w:rsidRPr="002678B9">
        <w:t xml:space="preserve">z wykorzystaniem środka identyfikacji elektronicznej zapewniającego co najmniej średni poziom bezpieczeństwa, o którym mowa w art. 8 ust. 2 </w:t>
      </w:r>
      <w:r>
        <w:br/>
      </w:r>
      <w:r w:rsidRPr="002678B9">
        <w:t>lit. b rozporządzenia 910/2014</w:t>
      </w:r>
      <w:r>
        <w:t xml:space="preserve"> </w:t>
      </w:r>
      <w:r w:rsidRPr="002678B9">
        <w:t xml:space="preserve">dnia 23 lipca 2014 r. w sprawie identyfikacji elektronicznej </w:t>
      </w:r>
      <w:r>
        <w:br/>
      </w:r>
      <w:r w:rsidRPr="002678B9">
        <w:t>i usług zaufania w odniesieniu do transakcji elektronicznych na rynku wewnętrznym oraz uchylającego dyrektywę 1999/93/WE (Dz.</w:t>
      </w:r>
      <w:r>
        <w:t xml:space="preserve"> </w:t>
      </w:r>
      <w:r w:rsidRPr="002678B9">
        <w:t>Urz. UE L 257 z 28.08.2014, str. 73</w:t>
      </w:r>
      <w:r w:rsidRPr="002C58D0">
        <w:t>, Dz. Urz. UE L 333 z 27.12.2022, str. 80 oraz Dz. Urz. UE L 2024/1183 z 30.04.2024).</w:t>
      </w:r>
    </w:p>
    <w:p w14:paraId="6AB2BCFB" w14:textId="24620E86" w:rsidR="004D2913" w:rsidRDefault="004D2913" w:rsidP="004D2913">
      <w:pPr>
        <w:pStyle w:val="Akapitzlist"/>
        <w:ind w:left="0" w:firstLine="426"/>
        <w:jc w:val="both"/>
      </w:pPr>
      <w:r>
        <w:t>W projekcie wskazano również</w:t>
      </w:r>
      <w:r w:rsidR="000805FF">
        <w:t>,</w:t>
      </w:r>
      <w:r>
        <w:t xml:space="preserve"> jakie zadania będzie realizował Minister Cyfryzacji, udostępniający usługę ePłatności. Minister Cyfryzacji będzie: </w:t>
      </w:r>
    </w:p>
    <w:p w14:paraId="6608E44A" w14:textId="77777777" w:rsidR="004D2913" w:rsidRPr="00BC0E0F" w:rsidRDefault="004D2913" w:rsidP="004D2913">
      <w:pPr>
        <w:pStyle w:val="PKTpunkt"/>
      </w:pPr>
      <w:r>
        <w:t>1)</w:t>
      </w:r>
      <w:r>
        <w:tab/>
      </w:r>
      <w:r w:rsidRPr="00BC0E0F">
        <w:t>utrzym</w:t>
      </w:r>
      <w:r>
        <w:t>ywał</w:t>
      </w:r>
      <w:r w:rsidRPr="00BC0E0F">
        <w:t xml:space="preserve"> oraz zapewnia</w:t>
      </w:r>
      <w:r>
        <w:t>ł</w:t>
      </w:r>
      <w:r w:rsidRPr="00BC0E0F">
        <w:t xml:space="preserve"> rozwój Platformy ePłatności i usługi ePłatności; </w:t>
      </w:r>
    </w:p>
    <w:p w14:paraId="7E2AD56D" w14:textId="77777777" w:rsidR="004D2913" w:rsidRPr="00BC0E0F" w:rsidRDefault="004D2913" w:rsidP="004D2913">
      <w:pPr>
        <w:pStyle w:val="PKTpunkt"/>
      </w:pPr>
      <w:r>
        <w:t>2)</w:t>
      </w:r>
      <w:r>
        <w:tab/>
      </w:r>
      <w:r w:rsidRPr="00BC0E0F">
        <w:t>zapewnia</w:t>
      </w:r>
      <w:r>
        <w:t>ł</w:t>
      </w:r>
      <w:r w:rsidRPr="00BC0E0F">
        <w:t xml:space="preserve"> cyberbezpieczeństwo Platformy ePłatności i usługi ePłatności; </w:t>
      </w:r>
    </w:p>
    <w:p w14:paraId="4C4AC20A" w14:textId="77777777" w:rsidR="004D2913" w:rsidRPr="00BC0E0F" w:rsidRDefault="004D2913" w:rsidP="004D2913">
      <w:pPr>
        <w:pStyle w:val="PKTpunkt"/>
      </w:pPr>
      <w:r>
        <w:t>3)</w:t>
      </w:r>
      <w:r>
        <w:tab/>
      </w:r>
      <w:r w:rsidRPr="00BC0E0F">
        <w:t>zapewnia</w:t>
      </w:r>
      <w:r>
        <w:t>ł</w:t>
      </w:r>
      <w:r w:rsidRPr="00BC0E0F">
        <w:t xml:space="preserve"> zgodność usługi ePłatności i</w:t>
      </w:r>
      <w:r>
        <w:t xml:space="preserve"> </w:t>
      </w:r>
      <w:r w:rsidRPr="00BC0E0F">
        <w:t>Platformy ePłatności z wymaganiami schematów płatniczych</w:t>
      </w:r>
      <w:r>
        <w:t>,</w:t>
      </w:r>
      <w:r w:rsidRPr="00BC0E0F">
        <w:t xml:space="preserve"> w tym organizacji płatniczych będących właścicielami usług płatniczych oferowanych w usłudze ePłatności i Platformie ePłatności;  </w:t>
      </w:r>
    </w:p>
    <w:p w14:paraId="6B02D4D1" w14:textId="77777777" w:rsidR="004D2913" w:rsidRPr="00BC0E0F" w:rsidRDefault="004D2913" w:rsidP="004D2913">
      <w:pPr>
        <w:pStyle w:val="PKTpunkt"/>
      </w:pPr>
      <w:r>
        <w:t>4)</w:t>
      </w:r>
      <w:r>
        <w:tab/>
      </w:r>
      <w:r w:rsidRPr="00BC0E0F">
        <w:t>zapewnia</w:t>
      </w:r>
      <w:r>
        <w:t>ł</w:t>
      </w:r>
      <w:r w:rsidRPr="00BC0E0F">
        <w:t xml:space="preserve"> możliwość integracji systemów teleinformatycznych podmiotów publicznych, Banku Gospodarstwa Krajowego</w:t>
      </w:r>
      <w:r>
        <w:t>, zwanego dalej „BGK”</w:t>
      </w:r>
      <w:r w:rsidRPr="00BC0E0F">
        <w:t xml:space="preserve"> oraz usług płatniczych dostawców usług płatniczych</w:t>
      </w:r>
      <w:r>
        <w:t xml:space="preserve"> </w:t>
      </w:r>
      <w:r w:rsidRPr="00BC0E0F">
        <w:t>z usługą ePłatności; </w:t>
      </w:r>
    </w:p>
    <w:p w14:paraId="66AB584D" w14:textId="77777777" w:rsidR="004D2913" w:rsidRPr="00BC0E0F" w:rsidRDefault="004D2913" w:rsidP="004D2913">
      <w:pPr>
        <w:pStyle w:val="PKTpunkt"/>
      </w:pPr>
      <w:r>
        <w:t>5)</w:t>
      </w:r>
      <w:r>
        <w:tab/>
      </w:r>
      <w:r w:rsidRPr="00BC0E0F">
        <w:t>zapewnia</w:t>
      </w:r>
      <w:r>
        <w:t>ł</w:t>
      </w:r>
      <w:r w:rsidRPr="00BC0E0F">
        <w:t xml:space="preserve"> bezpieczeństwo i integralność przetwarzanych danych w Platformie ePłatności i usłudze ePłatności; </w:t>
      </w:r>
    </w:p>
    <w:p w14:paraId="56675DE9" w14:textId="77777777" w:rsidR="004D2913" w:rsidRDefault="004D2913" w:rsidP="004D2913">
      <w:pPr>
        <w:pStyle w:val="PKTpunkt"/>
      </w:pPr>
      <w:r>
        <w:t>6)</w:t>
      </w:r>
      <w:r>
        <w:tab/>
      </w:r>
      <w:r w:rsidRPr="00BC0E0F">
        <w:t>zapewnia</w:t>
      </w:r>
      <w:r>
        <w:t>ł rozwiązania umożliwiające</w:t>
      </w:r>
      <w:r w:rsidRPr="00BC0E0F">
        <w:t xml:space="preserve"> komunikację pomiędzy Platformą ePłatności </w:t>
      </w:r>
      <w:r>
        <w:br/>
      </w:r>
      <w:r w:rsidRPr="00BC0E0F">
        <w:t>a dostawcami usług płatniczych w celu realizacji usługi ePłatności. </w:t>
      </w:r>
    </w:p>
    <w:p w14:paraId="568A889D" w14:textId="77777777" w:rsidR="004D2913" w:rsidRDefault="004D2913" w:rsidP="004D2913">
      <w:pPr>
        <w:pStyle w:val="Akapitzlist"/>
        <w:spacing w:before="120"/>
        <w:ind w:left="0" w:firstLine="425"/>
        <w:jc w:val="both"/>
      </w:pPr>
      <w:r>
        <w:t xml:space="preserve">Projekt ustawy obejmuje przyznanie Ministrowi Cyfryzacji uprawnienia do otrzymywania danych niezbędnych do udostępniania usługi ePłatności, w tym danych osobowych użytkownika oraz danych dotyczących należności. </w:t>
      </w:r>
    </w:p>
    <w:p w14:paraId="1BA7C821" w14:textId="77777777" w:rsidR="004D2913" w:rsidRPr="00934E97" w:rsidRDefault="004D2913" w:rsidP="004D2913">
      <w:pPr>
        <w:pStyle w:val="ARTartustawynprozporzdzenia"/>
      </w:pPr>
      <w:r>
        <w:t>W zakresie udostępnienia usługi ePłatności podmiotom publicznym projektowane przepisy wskazują, że Minister Cyfryzacji</w:t>
      </w:r>
      <w:r w:rsidRPr="00934E97">
        <w:t xml:space="preserve"> określ</w:t>
      </w:r>
      <w:r>
        <w:t>i</w:t>
      </w:r>
      <w:r w:rsidRPr="00956AF9">
        <w:t xml:space="preserve"> w Biuletynie Informacji Publicznej na swojej stronie podmiotowej</w:t>
      </w:r>
      <w:r w:rsidRPr="00934E97">
        <w:t xml:space="preserve"> ogólne warunki </w:t>
      </w:r>
      <w:r>
        <w:t>korzystania z</w:t>
      </w:r>
      <w:r w:rsidRPr="00934E97">
        <w:t xml:space="preserve"> </w:t>
      </w:r>
      <w:r>
        <w:t xml:space="preserve">tej </w:t>
      </w:r>
      <w:r w:rsidRPr="00934E97">
        <w:t>usług</w:t>
      </w:r>
      <w:r>
        <w:t>i</w:t>
      </w:r>
      <w:r w:rsidRPr="00182F48">
        <w:t xml:space="preserve"> </w:t>
      </w:r>
      <w:r w:rsidRPr="00934E97">
        <w:t>zawierające:</w:t>
      </w:r>
    </w:p>
    <w:p w14:paraId="0EB54C58" w14:textId="77777777" w:rsidR="004D2913" w:rsidRDefault="004D2913" w:rsidP="004D2913">
      <w:pPr>
        <w:pStyle w:val="PKTpunkt"/>
      </w:pPr>
      <w:r w:rsidRPr="00D52484">
        <w:rPr>
          <w:bCs w:val="0"/>
        </w:rPr>
        <w:lastRenderedPageBreak/>
        <w:t>1)</w:t>
      </w:r>
      <w:r>
        <w:tab/>
      </w:r>
      <w:r w:rsidRPr="00EB3CC9">
        <w:t>warunki organizacyjne i techniczne korzystania z usługi ePłatności, w szczególności warunki służące zapewnieniu cyberbezpieczeństwa</w:t>
      </w:r>
      <w:r>
        <w:t>;</w:t>
      </w:r>
    </w:p>
    <w:p w14:paraId="5C3E81D7" w14:textId="77777777" w:rsidR="004D2913" w:rsidRDefault="004D2913" w:rsidP="004D2913">
      <w:pPr>
        <w:pStyle w:val="PKTpunkt"/>
      </w:pPr>
      <w:r>
        <w:t>2)</w:t>
      </w:r>
      <w:r>
        <w:tab/>
        <w:t xml:space="preserve">sposób </w:t>
      </w:r>
      <w:r w:rsidRPr="009A5628">
        <w:t>wdrożenia usługi e</w:t>
      </w:r>
      <w:r>
        <w:t>P</w:t>
      </w:r>
      <w:r w:rsidRPr="009A5628">
        <w:t>łatności</w:t>
      </w:r>
      <w:r>
        <w:t xml:space="preserve"> przez podmiot publiczny; </w:t>
      </w:r>
    </w:p>
    <w:p w14:paraId="650805F2" w14:textId="77777777" w:rsidR="004D2913" w:rsidRPr="00934E97" w:rsidRDefault="004D2913" w:rsidP="004D2913">
      <w:pPr>
        <w:pStyle w:val="PKTpunkt"/>
      </w:pPr>
      <w:r>
        <w:t>3)</w:t>
      </w:r>
      <w:r>
        <w:tab/>
      </w:r>
      <w:r w:rsidRPr="00934E97">
        <w:t xml:space="preserve">zakres danych </w:t>
      </w:r>
      <w:r>
        <w:t>przekazywanych</w:t>
      </w:r>
      <w:r w:rsidRPr="00934E97">
        <w:t xml:space="preserve"> w ramach usługi</w:t>
      </w:r>
      <w:r w:rsidRPr="009352AB">
        <w:t xml:space="preserve"> e</w:t>
      </w:r>
      <w:r>
        <w:t>P</w:t>
      </w:r>
      <w:r w:rsidRPr="009352AB">
        <w:t>łatności</w:t>
      </w:r>
      <w:r>
        <w:t xml:space="preserve">, innych niż określone </w:t>
      </w:r>
      <w:r>
        <w:br/>
        <w:t>w ustawie</w:t>
      </w:r>
      <w:r w:rsidRPr="00934E97">
        <w:t>;</w:t>
      </w:r>
    </w:p>
    <w:p w14:paraId="7FD903E1" w14:textId="77777777" w:rsidR="004D2913" w:rsidRDefault="004D2913" w:rsidP="004D2913">
      <w:pPr>
        <w:pStyle w:val="PKTpunkt"/>
        <w:spacing w:after="120"/>
      </w:pPr>
      <w:r>
        <w:t>4)</w:t>
      </w:r>
      <w:r>
        <w:tab/>
      </w:r>
      <w:r w:rsidRPr="00934E97">
        <w:t xml:space="preserve">sposób potwierdzenia spełniania </w:t>
      </w:r>
      <w:r>
        <w:t xml:space="preserve">przez podmiot publiczny </w:t>
      </w:r>
      <w:r w:rsidRPr="00934E97">
        <w:t xml:space="preserve">warunków, o których mowa </w:t>
      </w:r>
      <w:r>
        <w:br/>
      </w:r>
      <w:r w:rsidRPr="00934E97">
        <w:t xml:space="preserve">w pkt </w:t>
      </w:r>
      <w:r>
        <w:t>1.</w:t>
      </w:r>
    </w:p>
    <w:p w14:paraId="4376CF51" w14:textId="77777777" w:rsidR="004D2913" w:rsidRDefault="004D2913" w:rsidP="004D2913">
      <w:pPr>
        <w:pStyle w:val="Akapitzlist"/>
        <w:spacing w:before="120" w:after="120"/>
        <w:ind w:left="0" w:firstLine="425"/>
        <w:jc w:val="both"/>
      </w:pPr>
      <w:r>
        <w:t xml:space="preserve">Po spełnieniu tych warunków każdy zainteresowany podmiot publiczny, który złożył wniosek, otrzyma zgodę na korzystanie z usługi ePłatności. </w:t>
      </w:r>
    </w:p>
    <w:p w14:paraId="3FFC2494" w14:textId="77777777" w:rsidR="004D2913" w:rsidRDefault="004D2913" w:rsidP="004D2913">
      <w:pPr>
        <w:pStyle w:val="Akapitzlist"/>
        <w:spacing w:before="120" w:after="120"/>
        <w:ind w:left="0" w:firstLine="425"/>
        <w:jc w:val="both"/>
      </w:pPr>
      <w:r>
        <w:t>Wprowadzona została ponadto regulacja umożliwiająca Ministrowi Cyfryzacji cofnięcie w drodze decyzji zgody na korzystanie z usługi ePłatności – w przypadku gdy wymaga tego bezpieczeństwo (cyberbezpieczeństwo) udostępnianej usługi albo gdy podmiot publiczny przestanie spełniać warunki jej świadczenia.</w:t>
      </w:r>
    </w:p>
    <w:p w14:paraId="4714068D" w14:textId="77777777" w:rsidR="004D2913" w:rsidRDefault="004D2913" w:rsidP="004D2913">
      <w:pPr>
        <w:pStyle w:val="Akapitzlist"/>
        <w:ind w:left="0" w:firstLine="425"/>
        <w:jc w:val="both"/>
      </w:pPr>
      <w:r>
        <w:t xml:space="preserve">Projekt precyzuje jakim podmiotom publicznych usługa będzie mogła zostać udostępniona – a więc podmiotom publicznym, </w:t>
      </w:r>
      <w:r w:rsidRPr="003352D0">
        <w:t>o który</w:t>
      </w:r>
      <w:r>
        <w:t>m</w:t>
      </w:r>
      <w:r w:rsidRPr="003352D0">
        <w:t xml:space="preserve"> mowa w art. 2 ust. 1 ustawy z dnia 17 lutego </w:t>
      </w:r>
      <w:r>
        <w:br/>
      </w:r>
      <w:r w:rsidRPr="003352D0">
        <w:t>2002 r. o informatyzacji podmiotów realizujących zadania publiczne</w:t>
      </w:r>
      <w:r>
        <w:t>. Ponadto wskazuje za jakiego rodzaju należności będą mogły zostać na rzecz podmiotów publicznych dokonane opłaty, to jest za pobierane przez nie:</w:t>
      </w:r>
    </w:p>
    <w:p w14:paraId="664C1F52" w14:textId="77777777" w:rsidR="004D2913" w:rsidRPr="00EB3CC9" w:rsidRDefault="004D2913" w:rsidP="004D2913">
      <w:pPr>
        <w:pStyle w:val="PKTpunkt"/>
      </w:pPr>
      <w:r>
        <w:t>1)</w:t>
      </w:r>
      <w:r>
        <w:tab/>
      </w:r>
      <w:r w:rsidRPr="00391ADD">
        <w:t>podatki, opłaty, niepodatkowe należności budżetu państwa oraz budżetu jednostek samorządu terytorialnego</w:t>
      </w:r>
      <w:r>
        <w:t>;</w:t>
      </w:r>
    </w:p>
    <w:p w14:paraId="115A6D4D" w14:textId="77777777" w:rsidR="004D2913" w:rsidRPr="00EB3CC9" w:rsidRDefault="004D2913" w:rsidP="004D2913">
      <w:pPr>
        <w:pStyle w:val="PKTpunkt"/>
      </w:pPr>
      <w:r>
        <w:t>2)</w:t>
      </w:r>
      <w:r>
        <w:tab/>
      </w:r>
      <w:r w:rsidRPr="00391ADD">
        <w:t xml:space="preserve">opłaty skarbowe oraz opłaty, o których mowa w przepisach ustawy z dnia 12 stycznia 1991 r. o podatkach i opłatach lokalnych (Dz. U. </w:t>
      </w:r>
      <w:r w:rsidRPr="00832331">
        <w:t>z 202</w:t>
      </w:r>
      <w:r>
        <w:t>5</w:t>
      </w:r>
      <w:r w:rsidRPr="00832331">
        <w:t xml:space="preserve"> r. poz. 70</w:t>
      </w:r>
      <w:r>
        <w:t>7</w:t>
      </w:r>
      <w:r w:rsidRPr="00391ADD">
        <w:t>)</w:t>
      </w:r>
      <w:r>
        <w:t>;</w:t>
      </w:r>
    </w:p>
    <w:p w14:paraId="551FD4A6" w14:textId="77777777" w:rsidR="004D2913" w:rsidRPr="00EB3CC9" w:rsidRDefault="004D2913" w:rsidP="004D2913">
      <w:pPr>
        <w:pStyle w:val="PKTpunkt"/>
      </w:pPr>
      <w:r>
        <w:t>3)</w:t>
      </w:r>
      <w:r>
        <w:tab/>
      </w:r>
      <w:r w:rsidRPr="00391ADD">
        <w:t xml:space="preserve">opłaty inne niż wymienione w </w:t>
      </w:r>
      <w:r>
        <w:t>pkt 1 i 2</w:t>
      </w:r>
      <w:r w:rsidRPr="00391ADD">
        <w:t xml:space="preserve"> pobierane przez podmioty publiczne na podstawie przepisów odrębnych</w:t>
      </w:r>
      <w:r>
        <w:t>.</w:t>
      </w:r>
    </w:p>
    <w:p w14:paraId="412DCE8E" w14:textId="77777777" w:rsidR="004D2913" w:rsidRPr="00966C26" w:rsidRDefault="004D2913" w:rsidP="004D2913">
      <w:pPr>
        <w:pStyle w:val="Akapitzlist"/>
        <w:spacing w:before="120" w:after="120"/>
        <w:ind w:left="0" w:firstLine="425"/>
        <w:jc w:val="both"/>
        <w:rPr>
          <w:bCs/>
        </w:rPr>
      </w:pPr>
      <w:r>
        <w:rPr>
          <w:bCs/>
        </w:rPr>
        <w:t xml:space="preserve">Podmioty publiczne, którym zostanie udostępniona usługach, będą akceptantami </w:t>
      </w:r>
      <w:r>
        <w:rPr>
          <w:bCs/>
        </w:rPr>
        <w:br/>
        <w:t>w rozumieniu przepisów o usługach płatniczych.</w:t>
      </w:r>
    </w:p>
    <w:p w14:paraId="1559E6CB" w14:textId="77777777" w:rsidR="004D2913" w:rsidRDefault="004D2913" w:rsidP="004D2913">
      <w:pPr>
        <w:pStyle w:val="ARTartustawynprozporzdzenia"/>
        <w:spacing w:before="0"/>
      </w:pPr>
      <w:r>
        <w:t>Obsługa płatności realizowana będzie przez BGK, na podstawie umowy zawartej z ministrem właściwym do spraw informatyzacji, której warunki i zakres są określone w ustawie. BGK za zrealizowanie transakcji będzie przysługiwało jednolite wynagrodzenie. Górna wartość jest uregulowana w proponowanym przepisie</w:t>
      </w:r>
      <w:r w:rsidRPr="00EC2B62">
        <w:t>.</w:t>
      </w:r>
      <w:r>
        <w:t xml:space="preserve"> </w:t>
      </w:r>
      <w:r w:rsidRPr="00BC0E0F">
        <w:t>Wskazanie w projektowanej ustawie BGK zapewni sprawną obsługę transakcji przez podmiot, który pełni kluczową rolę w obsłudze płatności elektronicznych, w szczególności na rzecz administracji publicznej.</w:t>
      </w:r>
    </w:p>
    <w:p w14:paraId="34F7BEFB" w14:textId="77777777" w:rsidR="004D2913" w:rsidRPr="00BC0E0F" w:rsidRDefault="004D2913" w:rsidP="004D2913">
      <w:pPr>
        <w:pStyle w:val="ARTartustawynprozporzdzenia"/>
      </w:pPr>
      <w:r w:rsidRPr="00BC0E0F">
        <w:lastRenderedPageBreak/>
        <w:t>BGK na początku 2023 r</w:t>
      </w:r>
      <w:r>
        <w:t>.</w:t>
      </w:r>
      <w:r w:rsidRPr="00BC0E0F">
        <w:t xml:space="preserve"> został agentem rozliczeniowym w sektorze finansów publicznych</w:t>
      </w:r>
      <w:r>
        <w:t>,</w:t>
      </w:r>
      <w:r w:rsidRPr="00BC0E0F">
        <w:t xml:space="preserve"> nawiązując współpracę z Ministerstwem Finansów w zakresie rozliczania płatności podatkowych w serwisie e-Urząd Skarbowy</w:t>
      </w:r>
      <w:r>
        <w:t>, u</w:t>
      </w:r>
      <w:r w:rsidRPr="00BC0E0F">
        <w:t>możliwiając realizacj</w:t>
      </w:r>
      <w:r>
        <w:t>ę</w:t>
      </w:r>
      <w:r w:rsidRPr="00BC0E0F">
        <w:t xml:space="preserve"> płatności na rzecz administracji z wykorzystaniem kodu BLIK. Przygotowany przez BGK model obsługi rozliczeń zabezpieczył nie tylko standardowe/komercyjne płatności w formie przelewu zwykłego, ale przede wszystkim skupił swoją uwagę na skomplikowanych płatnościach podatkowych uiszczanych na rachunki płatności masowych w Narodowym Banku Polskim (NBP).  </w:t>
      </w:r>
    </w:p>
    <w:p w14:paraId="1F6676BB" w14:textId="77777777" w:rsidR="004D2913" w:rsidRPr="00BC0E0F" w:rsidRDefault="004D2913" w:rsidP="004D2913">
      <w:pPr>
        <w:pStyle w:val="ARTartustawynprozporzdzenia"/>
      </w:pPr>
      <w:r w:rsidRPr="00BC0E0F">
        <w:t>Mając na uwadze rosnącą popularność metody z wykorzystaniem kodu BLIK (płatności w środowisku internetowym (e-commerce</w:t>
      </w:r>
      <w:r>
        <w:t>)</w:t>
      </w:r>
      <w:r w:rsidRPr="00BC0E0F">
        <w:t xml:space="preserve"> z wykorzystaniem kodu BLIK to średnio 77% wszystkich realizowanych transakcji), na podstawie zrealizowanego projektu z Ministerstwem Finansów BGK udostępnił, po wcześniejszym dostosowaniu, swoje rozwiązania dla usługi ePłatności w mObywatel. </w:t>
      </w:r>
    </w:p>
    <w:p w14:paraId="38E5ABB7" w14:textId="77777777" w:rsidR="004D2913" w:rsidRDefault="004D2913" w:rsidP="004D2913">
      <w:pPr>
        <w:pStyle w:val="ARTartustawynprozporzdzenia"/>
      </w:pPr>
      <w:r w:rsidRPr="00BC0E0F">
        <w:t xml:space="preserve">Wsparcie procesu płatności elektronicznych na rzecz administracji ścisłe związane jest </w:t>
      </w:r>
      <w:r>
        <w:br/>
      </w:r>
      <w:r w:rsidRPr="00BC0E0F">
        <w:t>z misją BGK</w:t>
      </w:r>
      <w:r>
        <w:t>,</w:t>
      </w:r>
      <w:r w:rsidRPr="00BC0E0F">
        <w:t xml:space="preserve"> w tym z programem modelu biznesowego Finanse Publiczne.  Obecnie, BGK we współpracy ze swoimi partnerami posiada niezbędne narzędzia do rozliczania transakcji realizowanych dwoma najbardziej popularnymi metodami płatniczymi tj. kod BLIK i karty płatnicze Visa/Mastercard. W ramach dalszego rozwoju usługi możliwe będzie poszerzenie rodzajów metod płatniczych dostępnych w usłudze ePłatności</w:t>
      </w:r>
      <w:r>
        <w:t>.</w:t>
      </w:r>
    </w:p>
    <w:p w14:paraId="5DF965C4" w14:textId="77777777" w:rsidR="004D2913" w:rsidRPr="00EB3CC9" w:rsidRDefault="004D2913" w:rsidP="004D2913">
      <w:pPr>
        <w:pStyle w:val="ARTartustawynprozporzdzenia"/>
      </w:pPr>
      <w:r w:rsidRPr="00EB3CC9">
        <w:t>Projektowane przepisy przewidują również możliwość przeprowadzenia przez Ministra Cyfryzacji naboru na udzielenie dotacji z dostępnych środków finansowych na integrację systemów teleinformatycznych jednostek samorządu terytorialnego z systemem ePłatności.</w:t>
      </w:r>
      <w:r>
        <w:t xml:space="preserve"> </w:t>
      </w:r>
      <w:r w:rsidRPr="00EB3CC9">
        <w:t>Dotacje będą mi</w:t>
      </w:r>
      <w:r>
        <w:t>a</w:t>
      </w:r>
      <w:r w:rsidRPr="00EB3CC9">
        <w:t xml:space="preserve">ły na celu wsparcie małych jednostek samorządu terytorialnego (o liczbie mieszkańców do 10 tyś) w przystosowaniu i integracji ich systemów z ogólnokrajową Platformą ePłatności, co umożliwi efektywne korzystanie z usługi ePłatności </w:t>
      </w:r>
      <w:r>
        <w:t>-</w:t>
      </w:r>
      <w:r w:rsidRPr="00EB3CC9">
        <w:t xml:space="preserve"> systemu online służącego do realizacji elektronicznych transakcji płatniczych dotyczących należności publicznych (np. podatków, opłat lokalnych itp.).</w:t>
      </w:r>
    </w:p>
    <w:p w14:paraId="43C20BAF" w14:textId="77777777" w:rsidR="004D2913" w:rsidRDefault="004D2913" w:rsidP="004D2913">
      <w:pPr>
        <w:pStyle w:val="ARTartustawynprozporzdzenia"/>
      </w:pPr>
      <w:r w:rsidRPr="00EB3CC9">
        <w:t xml:space="preserve">Wprowadzenie tego mechanizmu ma przyspieszyć cyfryzację i standaryzację procesów płatniczych w administracji samorządowej oraz zwiększyć dostępność i wygodę korzystania </w:t>
      </w:r>
      <w:r>
        <w:br/>
      </w:r>
      <w:r w:rsidRPr="00EB3CC9">
        <w:t>z ePłatności przez obywateli i przedsiębiorcó</w:t>
      </w:r>
      <w:r>
        <w:t>w.</w:t>
      </w:r>
    </w:p>
    <w:p w14:paraId="06471F9B" w14:textId="64272439" w:rsidR="004D2913" w:rsidRDefault="004D2913" w:rsidP="004D2913">
      <w:pPr>
        <w:spacing w:before="120"/>
        <w:ind w:firstLine="357"/>
        <w:jc w:val="both"/>
      </w:pPr>
      <w:r>
        <w:t xml:space="preserve">Projekt ustawy przewiduje, że ustawa wejdzie w życie w terminie 1 stycznia 2026 r. </w:t>
      </w:r>
    </w:p>
    <w:p w14:paraId="7194276A" w14:textId="77777777" w:rsidR="004D2913" w:rsidRDefault="004D2913" w:rsidP="004D2913">
      <w:pPr>
        <w:spacing w:before="120"/>
        <w:ind w:firstLine="357"/>
        <w:jc w:val="both"/>
      </w:pPr>
      <w:r w:rsidRPr="00DB434A">
        <w:lastRenderedPageBreak/>
        <w:t>Projekt ustawy nie jest sprzeczny z prawem Unii Europejskiej.</w:t>
      </w:r>
    </w:p>
    <w:p w14:paraId="5BB910DB" w14:textId="77777777" w:rsidR="004D2913" w:rsidRPr="00B91600" w:rsidRDefault="004D2913" w:rsidP="004D2913">
      <w:pPr>
        <w:pStyle w:val="ARTartustawynprozporzdzenia"/>
      </w:pPr>
      <w:r>
        <w:t xml:space="preserve">Projekt ustawy nie zawiera przepisów technicznych, w rozumieniu rozporządzenia Rady Ministrów z dnia 23 grudnia 2002 r. w sprawie sposobu funkcjonowania krajowego systemu notyfikacji norm i aktów prawnych (Dz. U. z 2002 r. poz. 2039 </w:t>
      </w:r>
      <w:bookmarkStart w:id="6" w:name="_Hlk208920713"/>
      <w:r>
        <w:t>oraz z 2004 r. poz. 597</w:t>
      </w:r>
      <w:bookmarkEnd w:id="6"/>
      <w:r>
        <w:t>), w związku z tym nie podlega notyfikacji.</w:t>
      </w:r>
    </w:p>
    <w:p w14:paraId="65C88B6E" w14:textId="77777777" w:rsidR="004D2913" w:rsidRPr="00B91600" w:rsidRDefault="004D2913" w:rsidP="004D2913">
      <w:pPr>
        <w:pStyle w:val="ARTartustawynprozporzdzenia"/>
      </w:pPr>
      <w:r w:rsidRPr="00B91600">
        <w:t>Projekt ustawy nie zawiera wymogów nakładanych na usługodawców podlegających notyfikacji, o której mowa w art. 15 ust. 7 lub art. 39 ust. 5 dyrektywy 2006/123/WE Parlamentu Europejskiego i Rady z dnia 12 grudnia 2006 r. dotyczącej usług na rynku wewnętrznych (Dz. Urz. UE</w:t>
      </w:r>
      <w:r>
        <w:t>.</w:t>
      </w:r>
      <w:r w:rsidRPr="00B91600">
        <w:t xml:space="preserve"> L 376 z 27.12.2006</w:t>
      </w:r>
      <w:r>
        <w:t>,</w:t>
      </w:r>
      <w:r w:rsidRPr="00B91600">
        <w:t xml:space="preserve"> str. 36).</w:t>
      </w:r>
    </w:p>
    <w:p w14:paraId="5999EE0D" w14:textId="77777777" w:rsidR="004D2913" w:rsidRPr="00B91600" w:rsidRDefault="004D2913" w:rsidP="004D2913">
      <w:pPr>
        <w:pStyle w:val="ARTartustawynprozporzdzenia"/>
      </w:pPr>
      <w:r w:rsidRPr="00B91600">
        <w:t xml:space="preserve">Projekt ustawy nie wymaga uzyskania opinii, dokonania powiadomienia, konsultacji albo uzgodnienia z właściwymi organami i instytucjami Unii Europejskiej, w tym z Europejskim Bankiem Centralnym, o czym mowa w § 39 uchwały nr 190 Rady Ministrów </w:t>
      </w:r>
      <w:r>
        <w:br/>
      </w:r>
      <w:r w:rsidRPr="00B91600">
        <w:t xml:space="preserve">z dnia 29 października 2013 r. – Regulamin pracy Rady Ministrów </w:t>
      </w:r>
      <w:r w:rsidRPr="003B36F9">
        <w:t>(M.P. z 2024 r. poz. 806 oraz 2025 poz. 408)</w:t>
      </w:r>
      <w:r w:rsidRPr="00B91600">
        <w:t>.</w:t>
      </w:r>
    </w:p>
    <w:p w14:paraId="014E4291" w14:textId="294A9B10" w:rsidR="008C0A5D" w:rsidRDefault="004D2913" w:rsidP="004D2913">
      <w:pPr>
        <w:pStyle w:val="ARTartustawynprozporzdzenia"/>
      </w:pPr>
      <w:r w:rsidRPr="00B91600">
        <w:t xml:space="preserve">Stosownie do art. 5 ustawy z dnia 7 lipca 2005 r. o działalności lobbingowej w procesie stanowienia prawa (Dz. U. z </w:t>
      </w:r>
      <w:r>
        <w:t>2025</w:t>
      </w:r>
      <w:r w:rsidRPr="00B91600">
        <w:t xml:space="preserve"> r. poz. </w:t>
      </w:r>
      <w:r>
        <w:t>677</w:t>
      </w:r>
      <w:r w:rsidRPr="00B91600">
        <w:t>) w związku z § 52 ust. 1 uchwały nr 190 Rady Ministrów z dnia 29 października 2013 r. – Regulamin pracy Rady Ministrów</w:t>
      </w:r>
      <w:r>
        <w:t>,</w:t>
      </w:r>
      <w:r w:rsidRPr="00B91600">
        <w:t xml:space="preserve"> projekt ustawy został udostępniony w Biuletynie Informacji Publicznej na stronie podmiotowej Rządowego Centrum Legislacji, w serwisie Rządowy Proces Legislacyjny.</w:t>
      </w:r>
    </w:p>
    <w:p w14:paraId="2E2B89C8" w14:textId="77777777" w:rsidR="008C0A5D" w:rsidRDefault="008C0A5D">
      <w:pPr>
        <w:widowControl/>
        <w:autoSpaceDE/>
        <w:autoSpaceDN/>
        <w:adjustRightInd/>
        <w:rPr>
          <w:rFonts w:ascii="Times" w:hAnsi="Times"/>
        </w:rPr>
      </w:pPr>
      <w:r>
        <w:br w:type="page"/>
      </w:r>
    </w:p>
    <w:tbl>
      <w:tblPr>
        <w:tblW w:w="10803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851"/>
        <w:gridCol w:w="567"/>
        <w:gridCol w:w="708"/>
        <w:gridCol w:w="709"/>
        <w:gridCol w:w="190"/>
        <w:gridCol w:w="589"/>
        <w:gridCol w:w="639"/>
        <w:gridCol w:w="224"/>
        <w:gridCol w:w="484"/>
        <w:gridCol w:w="484"/>
        <w:gridCol w:w="83"/>
        <w:gridCol w:w="851"/>
        <w:gridCol w:w="34"/>
        <w:gridCol w:w="675"/>
        <w:gridCol w:w="293"/>
        <w:gridCol w:w="557"/>
        <w:gridCol w:w="851"/>
        <w:gridCol w:w="44"/>
        <w:gridCol w:w="1083"/>
        <w:gridCol w:w="7"/>
      </w:tblGrid>
      <w:tr w:rsidR="008C0A5D" w:rsidRPr="00FE1A39" w14:paraId="1493903B" w14:textId="77777777" w:rsidTr="00484D74">
        <w:trPr>
          <w:gridAfter w:val="1"/>
          <w:wAfter w:w="7" w:type="dxa"/>
          <w:trHeight w:val="1611"/>
        </w:trPr>
        <w:tc>
          <w:tcPr>
            <w:tcW w:w="5357" w:type="dxa"/>
            <w:gridSpan w:val="9"/>
          </w:tcPr>
          <w:p w14:paraId="1FA65DF0" w14:textId="77777777" w:rsidR="008C0A5D" w:rsidRPr="00FE1A39" w:rsidRDefault="008C0A5D" w:rsidP="00125B4B">
            <w:pPr>
              <w:suppressAutoHyphens/>
              <w:spacing w:after="120" w:line="240" w:lineRule="auto"/>
              <w:rPr>
                <w:color w:val="000000"/>
              </w:rPr>
            </w:pPr>
            <w:bookmarkStart w:id="7" w:name="_Hlk209003270"/>
            <w:r w:rsidRPr="00FE1A39">
              <w:rPr>
                <w:b/>
                <w:color w:val="000000"/>
              </w:rPr>
              <w:lastRenderedPageBreak/>
              <w:t>Nazwa projektu</w:t>
            </w:r>
          </w:p>
          <w:p w14:paraId="4C6E8113" w14:textId="77777777" w:rsidR="008C0A5D" w:rsidRPr="00FE1A39" w:rsidRDefault="008C0A5D" w:rsidP="00125B4B">
            <w:pPr>
              <w:suppressAutoHyphens/>
              <w:spacing w:after="120" w:line="240" w:lineRule="auto"/>
              <w:ind w:left="34"/>
              <w:rPr>
                <w:color w:val="000000"/>
              </w:rPr>
            </w:pPr>
            <w:r w:rsidRPr="00FE1A39">
              <w:rPr>
                <w:color w:val="000000"/>
              </w:rPr>
              <w:t xml:space="preserve">Ustawa </w:t>
            </w:r>
            <w:r w:rsidRPr="006F1231">
              <w:rPr>
                <w:color w:val="000000"/>
              </w:rPr>
              <w:t>o usłudze ePłatności</w:t>
            </w:r>
          </w:p>
          <w:p w14:paraId="465A9B48" w14:textId="77777777" w:rsidR="008C0A5D" w:rsidRPr="00FE1A39" w:rsidRDefault="008C0A5D" w:rsidP="00125B4B">
            <w:pPr>
              <w:suppressAutoHyphens/>
              <w:spacing w:after="120" w:line="240" w:lineRule="auto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t>Ministerstwo wiodące i ministerstwa współpracujące</w:t>
            </w:r>
          </w:p>
          <w:p w14:paraId="1D03E9C8" w14:textId="77777777" w:rsidR="008C0A5D" w:rsidRPr="00FE1A39" w:rsidRDefault="008C0A5D" w:rsidP="00125B4B">
            <w:pPr>
              <w:suppressAutoHyphens/>
              <w:spacing w:after="120" w:line="240" w:lineRule="auto"/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Ministerstwo Cyfryzacji </w:t>
            </w:r>
          </w:p>
          <w:p w14:paraId="3A2C6237" w14:textId="77777777" w:rsidR="008C0A5D" w:rsidRDefault="008C0A5D" w:rsidP="00125B4B">
            <w:pPr>
              <w:suppressAutoHyphens/>
              <w:spacing w:after="120" w:line="240" w:lineRule="auto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t>Osoba odpowiedzialna za projekt w randze Ministra, Sekretarza Stanu lub Podsekretarza Stanu</w:t>
            </w:r>
          </w:p>
          <w:p w14:paraId="53C0B989" w14:textId="77777777" w:rsidR="008C0A5D" w:rsidRDefault="008C0A5D" w:rsidP="00125B4B">
            <w:pPr>
              <w:suppressAutoHyphens/>
              <w:spacing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Dariusz Standerski, Sekretarz Stanu, Ministerstwo Cyfryzacji</w:t>
            </w:r>
          </w:p>
          <w:p w14:paraId="239AA9A4" w14:textId="77777777" w:rsidR="008C0A5D" w:rsidRDefault="008C0A5D" w:rsidP="00125B4B">
            <w:pPr>
              <w:suppressAutoHyphens/>
              <w:spacing w:after="120" w:line="240" w:lineRule="auto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t>Kontakt do opiekuna merytorycznego projektu</w:t>
            </w:r>
          </w:p>
          <w:p w14:paraId="7F6ACF7E" w14:textId="77777777" w:rsidR="008C0A5D" w:rsidRPr="00FE1A39" w:rsidRDefault="008C0A5D" w:rsidP="00125B4B">
            <w:pPr>
              <w:spacing w:after="120" w:line="240" w:lineRule="auto"/>
              <w:ind w:hanging="34"/>
              <w:rPr>
                <w:color w:val="000000"/>
              </w:rPr>
            </w:pPr>
            <w:r w:rsidRPr="00B00A83">
              <w:rPr>
                <w:bCs/>
                <w:color w:val="000000"/>
              </w:rPr>
              <w:t>Monika Małowiecka, Zastępca Dyrektora Departamentu Transformacji Cyfrowej w Ministerstwie Cyfryzacji, Monika.Malowiecka3@cyfra.gov.pl</w:t>
            </w:r>
          </w:p>
        </w:tc>
        <w:tc>
          <w:tcPr>
            <w:tcW w:w="5439" w:type="dxa"/>
            <w:gridSpan w:val="11"/>
            <w:shd w:val="clear" w:color="auto" w:fill="FFFFFF" w:themeFill="background1"/>
          </w:tcPr>
          <w:p w14:paraId="3FA70996" w14:textId="77777777" w:rsidR="008C0A5D" w:rsidRPr="00FE1A39" w:rsidRDefault="008C0A5D" w:rsidP="00125B4B">
            <w:pPr>
              <w:spacing w:line="240" w:lineRule="auto"/>
              <w:rPr>
                <w:b/>
                <w:sz w:val="21"/>
                <w:szCs w:val="21"/>
              </w:rPr>
            </w:pPr>
            <w:r w:rsidRPr="00FE1A39">
              <w:rPr>
                <w:b/>
                <w:sz w:val="21"/>
                <w:szCs w:val="21"/>
              </w:rPr>
              <w:t>Data sporządzenia</w:t>
            </w:r>
            <w:r w:rsidRPr="00FE1A39">
              <w:rPr>
                <w:b/>
                <w:sz w:val="21"/>
                <w:szCs w:val="21"/>
              </w:rPr>
              <w:br/>
            </w:r>
            <w:sdt>
              <w:sdtPr>
                <w:rPr>
                  <w:sz w:val="21"/>
                  <w:szCs w:val="21"/>
                </w:rPr>
                <w:id w:val="-345788683"/>
                <w:placeholder>
                  <w:docPart w:val="DB6639EFEB344937970989928C79495B"/>
                </w:placeholder>
                <w:date w:fullDate="2025-09-17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sz w:val="21"/>
                    <w:szCs w:val="21"/>
                  </w:rPr>
                  <w:t>17.09.2025</w:t>
                </w:r>
              </w:sdtContent>
            </w:sdt>
          </w:p>
          <w:p w14:paraId="0627A03A" w14:textId="77777777" w:rsidR="008C0A5D" w:rsidRPr="00FE1A39" w:rsidRDefault="008C0A5D" w:rsidP="00125B4B">
            <w:pPr>
              <w:spacing w:line="240" w:lineRule="auto"/>
              <w:rPr>
                <w:b/>
              </w:rPr>
            </w:pPr>
          </w:p>
          <w:p w14:paraId="393A97A7" w14:textId="77777777" w:rsidR="008C0A5D" w:rsidRPr="00FE1A39" w:rsidRDefault="008C0A5D" w:rsidP="00125B4B">
            <w:pPr>
              <w:spacing w:line="240" w:lineRule="auto"/>
              <w:rPr>
                <w:b/>
              </w:rPr>
            </w:pPr>
            <w:r w:rsidRPr="00FE1A39">
              <w:rPr>
                <w:b/>
              </w:rPr>
              <w:t xml:space="preserve">Źródło: </w:t>
            </w:r>
            <w:bookmarkStart w:id="8" w:name="Lista1"/>
          </w:p>
          <w:bookmarkEnd w:id="8"/>
          <w:p w14:paraId="17D8BF8E" w14:textId="77777777" w:rsidR="008C0A5D" w:rsidRPr="00FE1A39" w:rsidRDefault="008C0A5D" w:rsidP="00125B4B">
            <w:pPr>
              <w:spacing w:line="240" w:lineRule="auto"/>
            </w:pPr>
            <w:r w:rsidRPr="00FE1A39">
              <w:t>Inicjatywa własna</w:t>
            </w:r>
          </w:p>
          <w:p w14:paraId="713974EA" w14:textId="77777777" w:rsidR="008C0A5D" w:rsidRPr="00FE1A39" w:rsidRDefault="008C0A5D" w:rsidP="00125B4B">
            <w:pPr>
              <w:spacing w:line="240" w:lineRule="auto"/>
            </w:pPr>
          </w:p>
          <w:p w14:paraId="4447160A" w14:textId="77777777" w:rsidR="008C0A5D" w:rsidRDefault="008C0A5D" w:rsidP="00125B4B">
            <w:pPr>
              <w:spacing w:before="120" w:line="240" w:lineRule="auto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t>Nr w wykazie prac</w:t>
            </w:r>
            <w:r>
              <w:rPr>
                <w:b/>
                <w:color w:val="000000"/>
              </w:rPr>
              <w:t>:</w:t>
            </w:r>
          </w:p>
          <w:p w14:paraId="76256029" w14:textId="77777777" w:rsidR="008C0A5D" w:rsidRPr="00E0011D" w:rsidRDefault="008C0A5D" w:rsidP="00125B4B">
            <w:pPr>
              <w:spacing w:before="120" w:line="240" w:lineRule="auto"/>
              <w:rPr>
                <w:bCs/>
                <w:color w:val="000000"/>
              </w:rPr>
            </w:pPr>
            <w:r w:rsidRPr="00E0011D">
              <w:rPr>
                <w:bCs/>
                <w:color w:val="000000"/>
              </w:rPr>
              <w:t>UD 287</w:t>
            </w:r>
          </w:p>
          <w:p w14:paraId="12E6FFA1" w14:textId="77777777" w:rsidR="008C0A5D" w:rsidRPr="00FE1A39" w:rsidRDefault="008C0A5D" w:rsidP="00125B4B">
            <w:pPr>
              <w:spacing w:before="120" w:line="240" w:lineRule="auto"/>
              <w:rPr>
                <w:b/>
                <w:color w:val="000000"/>
              </w:rPr>
            </w:pPr>
          </w:p>
          <w:p w14:paraId="42E98B58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8C0A5D" w:rsidRPr="00FE1A39" w14:paraId="2C57BD94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99CCFF"/>
          </w:tcPr>
          <w:p w14:paraId="7C10D211" w14:textId="77777777" w:rsidR="008C0A5D" w:rsidRPr="00FE1A39" w:rsidRDefault="008C0A5D" w:rsidP="00125B4B">
            <w:pPr>
              <w:spacing w:line="240" w:lineRule="auto"/>
              <w:ind w:left="57"/>
              <w:jc w:val="center"/>
              <w:rPr>
                <w:b/>
                <w:color w:val="FFFFFF"/>
                <w:sz w:val="32"/>
                <w:szCs w:val="32"/>
              </w:rPr>
            </w:pPr>
            <w:r w:rsidRPr="00FE1A39">
              <w:rPr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8C0A5D" w:rsidRPr="00FE1A39" w14:paraId="4265923A" w14:textId="77777777" w:rsidTr="00484D74">
        <w:trPr>
          <w:gridAfter w:val="1"/>
          <w:wAfter w:w="7" w:type="dxa"/>
          <w:trHeight w:val="333"/>
        </w:trPr>
        <w:tc>
          <w:tcPr>
            <w:tcW w:w="10796" w:type="dxa"/>
            <w:gridSpan w:val="20"/>
            <w:shd w:val="clear" w:color="auto" w:fill="99CCFF"/>
            <w:vAlign w:val="center"/>
          </w:tcPr>
          <w:p w14:paraId="3D10A3B8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FE1A39">
              <w:rPr>
                <w:b/>
              </w:rPr>
              <w:t>Jaki problem jest rozwiązywany?</w:t>
            </w:r>
            <w:bookmarkStart w:id="9" w:name="Wybór1"/>
            <w:bookmarkEnd w:id="9"/>
          </w:p>
        </w:tc>
      </w:tr>
      <w:tr w:rsidR="008C0A5D" w:rsidRPr="00FE1A39" w14:paraId="4D1B45B8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FFFFFF" w:themeFill="background1"/>
          </w:tcPr>
          <w:p w14:paraId="4DA78061" w14:textId="77777777" w:rsidR="008C0A5D" w:rsidRDefault="008C0A5D" w:rsidP="00125B4B">
            <w:pPr>
              <w:suppressAutoHyphens/>
              <w:spacing w:after="120" w:line="240" w:lineRule="auto"/>
              <w:jc w:val="both"/>
            </w:pPr>
            <w:r>
              <w:t>O</w:t>
            </w:r>
            <w:r w:rsidRPr="003E55BA">
              <w:t xml:space="preserve">becnie </w:t>
            </w:r>
            <w:r>
              <w:t>podmioty publiczne</w:t>
            </w:r>
            <w:r w:rsidRPr="003E55BA">
              <w:t xml:space="preserve"> nie dysponuj</w:t>
            </w:r>
            <w:r>
              <w:t>ą jednym</w:t>
            </w:r>
            <w:r w:rsidRPr="003E55BA">
              <w:t xml:space="preserve"> powszechnym systemem do obsługi przyjmowania płatności elektronicznych w ramach świadczenia usług online</w:t>
            </w:r>
            <w:r>
              <w:t xml:space="preserve">. Podmioty publiczne starają się w różny sposób wprowadzać możliwość udostępniania płatności bezgotówkowych, a ich udostepnienie to kosztowny proces, szczególnie dla niedużych podmiotów publicznych, które obecnie mogą korzystać przede wszystkim z komercyjnych rozwiązań.  </w:t>
            </w:r>
          </w:p>
          <w:p w14:paraId="2DF4E3C1" w14:textId="77777777" w:rsidR="008C0A5D" w:rsidRDefault="008C0A5D" w:rsidP="00125B4B">
            <w:pPr>
              <w:suppressAutoHyphens/>
              <w:spacing w:after="120" w:line="240" w:lineRule="auto"/>
              <w:jc w:val="both"/>
            </w:pPr>
            <w:r>
              <w:t>Udostępnienie centralnej, darmowej usługi płatniczej, w celu regulowania zobowiązań i opłat na rzecz administracji, będzie dobrowolnym rozwiązaniem dla podmiotów. W znacznym stopniu przyczyni się do zwiększenia ściągalności i regulowania opłat przez obywateli dzięki łatwemu procesowi, wykorzystaniu istniejących kanałów dostępu do użytkowników (aplikacja mObywatel) oraz bezprowizyjnej realizacji transakcji najbardziej popularnymi metodami płatności.</w:t>
            </w:r>
          </w:p>
          <w:p w14:paraId="26D226C7" w14:textId="77777777" w:rsidR="008C0A5D" w:rsidRDefault="008C0A5D" w:rsidP="00125B4B">
            <w:pPr>
              <w:suppressAutoHyphens/>
              <w:spacing w:after="120" w:line="240" w:lineRule="auto"/>
              <w:jc w:val="both"/>
            </w:pPr>
            <w:r>
              <w:t xml:space="preserve">W związku z tym, że najwięcej barier z udostępnieniem e-usług, w tym usług płatniczych, mają jednostki samorządu terytorialnego (JST), celem jest rozpowszechnienie usługi w całej Polsce, tak aby przynajmniej jeden podmiot na terenie gminy mógł umożliwić swoim mieszkańcom realizację płatności w usłudze ePłatności. </w:t>
            </w:r>
          </w:p>
          <w:p w14:paraId="67265497" w14:textId="77777777" w:rsidR="008C0A5D" w:rsidRDefault="008C0A5D" w:rsidP="00125B4B">
            <w:pPr>
              <w:suppressAutoHyphens/>
              <w:spacing w:after="120" w:line="240" w:lineRule="auto"/>
              <w:jc w:val="both"/>
            </w:pPr>
            <w:r>
              <w:t>Biorąc pod uwagę dotychczas udostępnione narzędzia cyfryzacji usług, takie jak Węzeł Krajowy lub aplikacja mObywatel, to m</w:t>
            </w:r>
            <w:r w:rsidRPr="003E55BA">
              <w:t xml:space="preserve">inister właściwy do spraw informatyzacji </w:t>
            </w:r>
            <w:r>
              <w:t xml:space="preserve">powinien zapewnić jedną powszechną usługę, która będzie umożliwiała wykonanie płatności bezgotówkowych za należności na rzecz podmiotów publicznych. </w:t>
            </w:r>
            <w:r w:rsidRPr="003E4F62">
              <w:t>Minister Cyfryzacji kieruje</w:t>
            </w:r>
            <w:r>
              <w:t xml:space="preserve"> </w:t>
            </w:r>
            <w:r w:rsidRPr="003E4F62">
              <w:t xml:space="preserve">działem administracji rządowej – informatyzacja, na podstawie § 1 ust. 2 rozporządzenia Prezesa Rady Ministrów z dnia 18 grudnia 2023 r. w sprawie szczegółowego zakresu działania Ministra Cyfryzacji (Dz. U. poz. 2720). </w:t>
            </w:r>
            <w:r>
              <w:t>D</w:t>
            </w:r>
            <w:r w:rsidRPr="003E4F62">
              <w:t>ział informatyzacja</w:t>
            </w:r>
            <w:r>
              <w:t>,</w:t>
            </w:r>
            <w:r w:rsidRPr="003E4F62">
              <w:t xml:space="preserve"> zgodnie z art. 12a ust. 1 ustawy z</w:t>
            </w:r>
            <w:r>
              <w:t> </w:t>
            </w:r>
            <w:r w:rsidRPr="003E4F62">
              <w:t>dnia 4 września 1997 r. o działach administracji rządowej (Dz. U. z 2024 r. poz. 1370 i</w:t>
            </w:r>
            <w:r>
              <w:t> </w:t>
            </w:r>
            <w:r w:rsidRPr="003E4F62">
              <w:t>1907</w:t>
            </w:r>
            <w:r>
              <w:t xml:space="preserve"> oraz z 2025 poz. 820</w:t>
            </w:r>
            <w:r w:rsidRPr="003E4F62">
              <w:t>)</w:t>
            </w:r>
            <w:r>
              <w:t xml:space="preserve"> </w:t>
            </w:r>
            <w:r w:rsidRPr="00360559">
              <w:t xml:space="preserve">obejmuje </w:t>
            </w:r>
            <w:r>
              <w:t xml:space="preserve">m.in. </w:t>
            </w:r>
            <w:r w:rsidRPr="00360559">
              <w:t>sprawy</w:t>
            </w:r>
            <w:r>
              <w:t xml:space="preserve"> </w:t>
            </w:r>
            <w:r w:rsidRPr="00360559">
              <w:t>informatyzacji administracji publicznej oraz podmiotów wykonujących zadania publiczne</w:t>
            </w:r>
            <w:r w:rsidRPr="003E4F62">
              <w:t xml:space="preserve">, co wiąże z tym, że jest zobowiązany do podejmowania działań mających na celu rozwój informatyzacji administracji publicznej. </w:t>
            </w:r>
          </w:p>
          <w:p w14:paraId="44881CD1" w14:textId="77777777" w:rsidR="008C0A5D" w:rsidRDefault="008C0A5D" w:rsidP="00125B4B">
            <w:pPr>
              <w:suppressAutoHyphens/>
              <w:spacing w:after="120" w:line="240" w:lineRule="auto"/>
              <w:jc w:val="both"/>
            </w:pPr>
            <w:r>
              <w:t xml:space="preserve">Ponadto, na podstawie ustawy </w:t>
            </w:r>
            <w:r w:rsidRPr="00C066BC">
              <w:t>z dnia 9 marca 2023 r. o zmianie ustawy o dostępności cyfrowej stron internetowych i aplikacji mobilnych podmiotów publicznych oraz ustawy – Ordynacja podatkowa</w:t>
            </w:r>
            <w:r>
              <w:t xml:space="preserve"> (Dz. U. poz. </w:t>
            </w:r>
            <w:r>
              <w:lastRenderedPageBreak/>
              <w:t xml:space="preserve">511) została już wprowadzona podstawa prawna do uruchomienia przez Ministra Cyfryzacji pilotażu dla usługi ePłatności, zwanego dalej „Pilotażem” – to jest usługi </w:t>
            </w:r>
            <w:r w:rsidRPr="00D21691">
              <w:t>online umożliwiając</w:t>
            </w:r>
            <w:r>
              <w:t>ej</w:t>
            </w:r>
            <w:r w:rsidRPr="00D21691">
              <w:t xml:space="preserve"> realizację elektronicznych transakcji płatniczych dotyczących należności pobieranych przez podmioty publiczne</w:t>
            </w:r>
            <w:r>
              <w:t xml:space="preserve"> – który zakończy się zgodnie z wyżej wymienioną ustawą z dniem 31 grudnia 2025 r. </w:t>
            </w:r>
          </w:p>
          <w:p w14:paraId="34C65059" w14:textId="4E07831D" w:rsidR="008C0A5D" w:rsidRDefault="008C0A5D" w:rsidP="00125B4B">
            <w:pPr>
              <w:suppressAutoHyphens/>
              <w:spacing w:after="120" w:line="240" w:lineRule="auto"/>
              <w:jc w:val="both"/>
              <w:rPr>
                <w:color w:val="000000"/>
              </w:rPr>
            </w:pPr>
            <w:r w:rsidRPr="00E42E80">
              <w:rPr>
                <w:color w:val="000000"/>
              </w:rPr>
              <w:t>W ramach Pilotażu dokonywane są opłaty za należności przysługujące JST, a więc za podatki i opłaty lokalne uiszczane przez mieszkańców danej jednostki samorządu terytorialnego (JST). Na dzień 20.08.2025 r</w:t>
            </w:r>
            <w:r>
              <w:rPr>
                <w:color w:val="000000"/>
              </w:rPr>
              <w:t>.</w:t>
            </w:r>
            <w:r w:rsidRPr="00E42E80">
              <w:rPr>
                <w:color w:val="000000"/>
              </w:rPr>
              <w:t xml:space="preserve"> w ramach Pilotażu zostało zintegrowanych 81 JST</w:t>
            </w:r>
            <w:r>
              <w:rPr>
                <w:color w:val="000000"/>
              </w:rPr>
              <w:t xml:space="preserve">. W usłudze </w:t>
            </w:r>
            <w:r>
              <w:t>ePłatności</w:t>
            </w:r>
            <w:r>
              <w:rPr>
                <w:color w:val="000000"/>
              </w:rPr>
              <w:t xml:space="preserve"> prezentowane są informacje o powstałym zobowiązaniu (np. podatku od nieruchomości), tak aby użytkownik nie musiał uzupełniać dodatkowych danych, tylko dokonać płatności. Poza udostępnieniem informacji o zobowiązaniu, w usłudze ePłatności w ramach Pilotażu umożliwiono realizację opłat np. opłaty skarbowej.</w:t>
            </w:r>
          </w:p>
          <w:p w14:paraId="370538AE" w14:textId="77777777" w:rsidR="008C0A5D" w:rsidRDefault="008C0A5D" w:rsidP="00125B4B">
            <w:pPr>
              <w:suppressAutoHyphens/>
              <w:spacing w:after="120" w:line="240" w:lineRule="auto"/>
              <w:jc w:val="both"/>
            </w:pPr>
            <w:r>
              <w:t>W ramach Pilotażu udostępniono dwie metody płatności – BLIK oraz karta płatnicza.</w:t>
            </w:r>
          </w:p>
          <w:p w14:paraId="5E5C3696" w14:textId="77777777" w:rsidR="008C0A5D" w:rsidRPr="00E0011D" w:rsidRDefault="008C0A5D" w:rsidP="00125B4B">
            <w:pPr>
              <w:suppressAutoHyphens/>
              <w:spacing w:after="120" w:line="240" w:lineRule="auto"/>
              <w:jc w:val="both"/>
              <w:rPr>
                <w:color w:val="000000"/>
              </w:rPr>
            </w:pPr>
            <w:r w:rsidRPr="003E4F62">
              <w:rPr>
                <w:color w:val="000000"/>
              </w:rPr>
              <w:t xml:space="preserve">Zainteresowanie </w:t>
            </w:r>
            <w:r>
              <w:rPr>
                <w:color w:val="000000"/>
              </w:rPr>
              <w:t>P</w:t>
            </w:r>
            <w:r w:rsidRPr="003E4F62">
              <w:rPr>
                <w:color w:val="000000"/>
              </w:rPr>
              <w:t xml:space="preserve">ilotażem oraz pozytywna ocena </w:t>
            </w:r>
            <w:r>
              <w:rPr>
                <w:color w:val="000000"/>
              </w:rPr>
              <w:t xml:space="preserve">JST </w:t>
            </w:r>
            <w:r w:rsidRPr="003E4F62">
              <w:rPr>
                <w:color w:val="000000"/>
              </w:rPr>
              <w:t>uczestni</w:t>
            </w:r>
            <w:r>
              <w:rPr>
                <w:color w:val="000000"/>
              </w:rPr>
              <w:t xml:space="preserve">czących w Pilotażu również </w:t>
            </w:r>
            <w:r w:rsidRPr="003E4F62">
              <w:rPr>
                <w:color w:val="000000"/>
              </w:rPr>
              <w:t xml:space="preserve">potwierdza potrzebę rozpowszechnienia </w:t>
            </w:r>
            <w:r>
              <w:rPr>
                <w:color w:val="000000"/>
              </w:rPr>
              <w:t xml:space="preserve">przez Ministra Cyfryzacji </w:t>
            </w:r>
            <w:r w:rsidRPr="003E4F62">
              <w:rPr>
                <w:color w:val="000000"/>
              </w:rPr>
              <w:t>usługi e</w:t>
            </w:r>
            <w:r>
              <w:rPr>
                <w:color w:val="000000"/>
              </w:rPr>
              <w:t>P</w:t>
            </w:r>
            <w:r w:rsidRPr="003E4F62">
              <w:rPr>
                <w:color w:val="000000"/>
              </w:rPr>
              <w:t xml:space="preserve">łatności na rzecz </w:t>
            </w:r>
            <w:r>
              <w:rPr>
                <w:color w:val="000000"/>
              </w:rPr>
              <w:t>podmiotów publicznych. W ramach Pilotażu dla 71</w:t>
            </w:r>
            <w:r w:rsidRPr="003E4F62">
              <w:rPr>
                <w:color w:val="000000"/>
              </w:rPr>
              <w:t xml:space="preserve"> podłączonych </w:t>
            </w:r>
            <w:r>
              <w:rPr>
                <w:color w:val="000000"/>
              </w:rPr>
              <w:t>JST</w:t>
            </w:r>
            <w:r w:rsidRPr="003E4F62">
              <w:rPr>
                <w:color w:val="000000"/>
              </w:rPr>
              <w:t xml:space="preserve"> w </w:t>
            </w:r>
            <w:r>
              <w:rPr>
                <w:color w:val="000000"/>
              </w:rPr>
              <w:t>II</w:t>
            </w:r>
            <w:r w:rsidRPr="003E4F62">
              <w:rPr>
                <w:color w:val="000000"/>
              </w:rPr>
              <w:t xml:space="preserve"> kwartale 2025 r</w:t>
            </w:r>
            <w:r>
              <w:rPr>
                <w:color w:val="000000"/>
              </w:rPr>
              <w:t>.</w:t>
            </w:r>
            <w:r w:rsidRPr="003E4F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zostało zrealizowanych </w:t>
            </w:r>
            <w:r w:rsidRPr="003E4F62">
              <w:rPr>
                <w:color w:val="000000"/>
              </w:rPr>
              <w:t xml:space="preserve">ponad </w:t>
            </w:r>
            <w:r>
              <w:rPr>
                <w:color w:val="000000"/>
              </w:rPr>
              <w:t>379</w:t>
            </w:r>
            <w:r w:rsidRPr="003E4F62">
              <w:rPr>
                <w:color w:val="000000"/>
              </w:rPr>
              <w:t xml:space="preserve"> tys. transakcji o wartości </w:t>
            </w:r>
            <w:r>
              <w:rPr>
                <w:color w:val="000000"/>
              </w:rPr>
              <w:t>34</w:t>
            </w:r>
            <w:r w:rsidRPr="003E4F62">
              <w:rPr>
                <w:color w:val="000000"/>
              </w:rPr>
              <w:t xml:space="preserve"> mln zł</w:t>
            </w:r>
            <w:r>
              <w:rPr>
                <w:color w:val="000000"/>
              </w:rPr>
              <w:t>.</w:t>
            </w:r>
          </w:p>
          <w:p w14:paraId="12A70E5C" w14:textId="77777777" w:rsidR="008C0A5D" w:rsidRDefault="008C0A5D" w:rsidP="00125B4B">
            <w:pPr>
              <w:suppressAutoHyphens/>
              <w:spacing w:after="120" w:line="240" w:lineRule="auto"/>
              <w:jc w:val="both"/>
              <w:rPr>
                <w:color w:val="000000"/>
              </w:rPr>
            </w:pPr>
            <w:r w:rsidRPr="00E42E80">
              <w:rPr>
                <w:color w:val="000000"/>
              </w:rPr>
              <w:t>Pilotaż umożliwił wspólną pracę nad planowaniem funkcjonowania docelowej usługi razem z przyłączonymi urzędami.  Dzięki współpracy udało się poznać problemy JST związane z wdrażaniem nowych usług</w:t>
            </w:r>
            <w:r>
              <w:rPr>
                <w:color w:val="000000"/>
              </w:rPr>
              <w:t>,</w:t>
            </w:r>
            <w:r w:rsidRPr="00E42E80">
              <w:rPr>
                <w:color w:val="000000"/>
              </w:rPr>
              <w:t xml:space="preserve"> w szczególności w zakresie płatności. W ramach prowadzonych działań, w tym również podczas konferencji i spotkań, zostały z</w:t>
            </w:r>
            <w:r>
              <w:rPr>
                <w:color w:val="000000"/>
              </w:rPr>
              <w:t>e</w:t>
            </w:r>
            <w:r w:rsidRPr="00E42E80">
              <w:rPr>
                <w:color w:val="000000"/>
              </w:rPr>
              <w:t>brane opinie na temat działania wdrożonych funkcjonalności ePłatności, jak również sugestie związane z dalszym rozwojem tej usługi. Wdrożenie usługi ePłatności spowodowało większą ściągalność podatków i innych zobowiązań. ePłatności przyczyniły się również do wzrostu opłacanych zobowiązań w terminie</w:t>
            </w:r>
            <w:r>
              <w:rPr>
                <w:color w:val="000000"/>
              </w:rPr>
              <w:t xml:space="preserve"> – z uwagi na dostępność informacji o należnościach w aplikacji mObywatel, jak również funkcjonalnością powiadomień w tej aplikacji.</w:t>
            </w:r>
          </w:p>
          <w:p w14:paraId="2DDE882F" w14:textId="77777777" w:rsidR="008C0A5D" w:rsidRPr="00FE1A39" w:rsidRDefault="008C0A5D" w:rsidP="00125B4B">
            <w:pPr>
              <w:suppressAutoHyphens/>
              <w:spacing w:after="120" w:line="240" w:lineRule="auto"/>
              <w:jc w:val="both"/>
              <w:rPr>
                <w:rFonts w:eastAsia="Times New Roman"/>
              </w:rPr>
            </w:pPr>
            <w:r>
              <w:rPr>
                <w:color w:val="000000"/>
              </w:rPr>
              <w:t xml:space="preserve">Dodatkowo JST podkreślają, że integracja z ePłatnościami przyczyniła się do automatyzacji procesów wewnętrznych w urzędzie oraz eliminacji błędów. JST podkreślają, że bezprowizyjność transakcji w znacznym stopniu przyczyniła się do rozpowszechnienia wykorzystania ePłatności wśród mieszkańców. </w:t>
            </w:r>
            <w:r>
              <w:rPr>
                <w:color w:val="000000" w:themeColor="text1"/>
              </w:rPr>
              <w:t>U</w:t>
            </w:r>
            <w:r w:rsidRPr="0CEDF06E">
              <w:rPr>
                <w:color w:val="000000" w:themeColor="text1"/>
              </w:rPr>
              <w:t>regulowanie w odrębnym akcie prawnym jednolitych zasad funkcjonowania i zakresu usługi ePłatności oraz</w:t>
            </w:r>
            <w:r>
              <w:t xml:space="preserve"> </w:t>
            </w:r>
            <w:r w:rsidRPr="0CEDF06E">
              <w:rPr>
                <w:color w:val="000000" w:themeColor="text1"/>
              </w:rPr>
              <w:t xml:space="preserve">zasad i trybu udostępnienia przez Ministra Cyfryzacji usługi ePłatności podmiotom publicznym </w:t>
            </w:r>
            <w:r>
              <w:rPr>
                <w:color w:val="000000" w:themeColor="text1"/>
              </w:rPr>
              <w:t xml:space="preserve">ma na celu wprowadzenie ogólnych przepisów, </w:t>
            </w:r>
            <w:r w:rsidRPr="0CEDF06E">
              <w:rPr>
                <w:color w:val="000000" w:themeColor="text1"/>
              </w:rPr>
              <w:t xml:space="preserve">tak aby z tej usługi mógł skorzystać każdy zainteresowany podmiot publiczny. </w:t>
            </w:r>
          </w:p>
        </w:tc>
      </w:tr>
      <w:tr w:rsidR="008C0A5D" w:rsidRPr="00FE1A39" w14:paraId="223AFD19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99CCFF"/>
            <w:vAlign w:val="center"/>
          </w:tcPr>
          <w:p w14:paraId="2A4E8B19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FE1A39">
              <w:rPr>
                <w:b/>
                <w:color w:val="000000"/>
                <w:spacing w:val="-2"/>
              </w:rPr>
              <w:lastRenderedPageBreak/>
              <w:t>Rekomendowane rozwiązanie, w tym planowane narzędzia interwencji, i oczekiwany efekt</w:t>
            </w:r>
          </w:p>
        </w:tc>
      </w:tr>
      <w:tr w:rsidR="008C0A5D" w:rsidRPr="00FE1A39" w14:paraId="69A570B0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</w:tcPr>
          <w:p w14:paraId="4C0C78B4" w14:textId="08918E80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Proponowane przepisy ustawy dotyczą możliwości udostępnienia przez Ministra Cyfryzacji usługi ePłatności </w:t>
            </w:r>
            <w:r w:rsidRPr="004F4628">
              <w:rPr>
                <w:color w:val="000000"/>
                <w:spacing w:val="-2"/>
              </w:rPr>
              <w:t xml:space="preserve">na rzecz podmiotów publicznych. </w:t>
            </w:r>
            <w:r>
              <w:rPr>
                <w:color w:val="000000"/>
                <w:spacing w:val="-2"/>
              </w:rPr>
              <w:t xml:space="preserve">Korzystanie z tej usługi przez podmioty publiczne będzie dobrowolne i będzie mogło odbywać się na wniosek podmiotu publicznego, po zaakceptowaniu przez ten podmiot ogólnych warunków korzystania z usługi określonej </w:t>
            </w:r>
            <w:r w:rsidRPr="006E1F26">
              <w:rPr>
                <w:color w:val="000000"/>
                <w:spacing w:val="-2"/>
              </w:rPr>
              <w:t xml:space="preserve">w Biuletynie Informacji Publicznej na swojej stronie podmiotowej </w:t>
            </w:r>
            <w:r>
              <w:rPr>
                <w:color w:val="000000"/>
                <w:spacing w:val="-2"/>
              </w:rPr>
              <w:t xml:space="preserve">przez Ministra Cyfryzacji. </w:t>
            </w:r>
          </w:p>
          <w:p w14:paraId="157F7C51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Projekt ustawy wskazuje zakres i zasady funkcjonowania usługi ePłatności, w szczególności również precyzuje jakie dane będą przetwarzane w usłudze ePłatności. </w:t>
            </w:r>
          </w:p>
          <w:p w14:paraId="56D0EA9E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</w:p>
          <w:p w14:paraId="27C59C45" w14:textId="77777777" w:rsidR="008C0A5D" w:rsidRPr="00C0014B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Usługa ePłatności będzie umożliwiała dokonanie opłat </w:t>
            </w:r>
            <w:r w:rsidRPr="00C0014B">
              <w:rPr>
                <w:color w:val="000000"/>
                <w:spacing w:val="-2"/>
              </w:rPr>
              <w:t>należnoś</w:t>
            </w:r>
            <w:r>
              <w:rPr>
                <w:color w:val="000000"/>
                <w:spacing w:val="-2"/>
              </w:rPr>
              <w:t>ci takich jak</w:t>
            </w:r>
            <w:r w:rsidRPr="00C0014B">
              <w:rPr>
                <w:color w:val="000000"/>
                <w:spacing w:val="-2"/>
              </w:rPr>
              <w:t>:</w:t>
            </w:r>
          </w:p>
          <w:p w14:paraId="6308D9FB" w14:textId="77777777" w:rsidR="008C0A5D" w:rsidRPr="00C0014B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</w:t>
            </w:r>
            <w:r w:rsidRPr="00C0014B">
              <w:rPr>
                <w:color w:val="000000"/>
                <w:spacing w:val="-2"/>
              </w:rPr>
              <w:t>)</w:t>
            </w:r>
            <w:r w:rsidRPr="00C0014B">
              <w:rPr>
                <w:color w:val="000000"/>
                <w:spacing w:val="-2"/>
              </w:rPr>
              <w:tab/>
              <w:t>podatki, opłaty, niepodatkowe należności budżetu państwa oraz budżetu jednostek samorządu terytorialnego</w:t>
            </w:r>
            <w:r>
              <w:rPr>
                <w:color w:val="000000"/>
                <w:spacing w:val="-2"/>
              </w:rPr>
              <w:t>;</w:t>
            </w:r>
          </w:p>
          <w:p w14:paraId="659F66FF" w14:textId="77777777" w:rsidR="008C0A5D" w:rsidRPr="00C0014B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  <w:r w:rsidRPr="00C0014B">
              <w:rPr>
                <w:color w:val="000000"/>
                <w:spacing w:val="-2"/>
              </w:rPr>
              <w:t>)</w:t>
            </w:r>
            <w:r w:rsidRPr="00C0014B">
              <w:rPr>
                <w:color w:val="000000"/>
                <w:spacing w:val="-2"/>
              </w:rPr>
              <w:tab/>
              <w:t>opłaty skarbowe oraz opłaty, o których mowa w przepisach ustawy z dnia 12 stycznia 1991 r. o podatkach i opłatach lokalnych (Dz. U. z 202</w:t>
            </w:r>
            <w:r>
              <w:rPr>
                <w:color w:val="000000"/>
                <w:spacing w:val="-2"/>
              </w:rPr>
              <w:t>5</w:t>
            </w:r>
            <w:r w:rsidRPr="00C0014B">
              <w:rPr>
                <w:color w:val="000000"/>
                <w:spacing w:val="-2"/>
              </w:rPr>
              <w:t xml:space="preserve"> r. poz. </w:t>
            </w:r>
            <w:r>
              <w:rPr>
                <w:color w:val="000000"/>
                <w:spacing w:val="-2"/>
              </w:rPr>
              <w:t>707</w:t>
            </w:r>
            <w:r w:rsidRPr="00C0014B">
              <w:rPr>
                <w:color w:val="000000"/>
                <w:spacing w:val="-2"/>
              </w:rPr>
              <w:t>)</w:t>
            </w:r>
            <w:r>
              <w:rPr>
                <w:color w:val="000000"/>
                <w:spacing w:val="-2"/>
              </w:rPr>
              <w:t>;</w:t>
            </w:r>
          </w:p>
          <w:p w14:paraId="2F3F254C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  <w:r w:rsidRPr="00C0014B">
              <w:rPr>
                <w:color w:val="000000"/>
                <w:spacing w:val="-2"/>
              </w:rPr>
              <w:t>)</w:t>
            </w:r>
            <w:r w:rsidRPr="00C0014B">
              <w:rPr>
                <w:color w:val="000000"/>
                <w:spacing w:val="-2"/>
              </w:rPr>
              <w:tab/>
              <w:t xml:space="preserve">opłaty inne niż wymienione w </w:t>
            </w:r>
            <w:r>
              <w:rPr>
                <w:color w:val="000000"/>
                <w:spacing w:val="-2"/>
              </w:rPr>
              <w:t>pkt 1 i 2</w:t>
            </w:r>
            <w:r w:rsidRPr="00C0014B">
              <w:rPr>
                <w:color w:val="000000"/>
                <w:spacing w:val="-2"/>
              </w:rPr>
              <w:t>, pobierane przez podmioty publiczne na podstawie przepisów odrębnych</w:t>
            </w:r>
            <w:r>
              <w:rPr>
                <w:color w:val="000000"/>
                <w:spacing w:val="-2"/>
              </w:rPr>
              <w:t>.</w:t>
            </w:r>
          </w:p>
          <w:p w14:paraId="2486943A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</w:p>
          <w:p w14:paraId="59F130B6" w14:textId="77777777" w:rsidR="008C0A5D" w:rsidRPr="00733021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 w:rsidRPr="00733021">
              <w:rPr>
                <w:color w:val="000000"/>
                <w:spacing w:val="-2"/>
              </w:rPr>
              <w:t>Zakres usługi ePłatności będzie obejmował:</w:t>
            </w:r>
          </w:p>
          <w:p w14:paraId="14E6A670" w14:textId="77777777" w:rsidR="008C0A5D" w:rsidRPr="00733021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 w:rsidRPr="00733021">
              <w:rPr>
                <w:color w:val="000000"/>
                <w:spacing w:val="-2"/>
              </w:rPr>
              <w:lastRenderedPageBreak/>
              <w:t>1)</w:t>
            </w:r>
            <w:r w:rsidRPr="00733021">
              <w:rPr>
                <w:color w:val="000000"/>
                <w:spacing w:val="-2"/>
              </w:rPr>
              <w:tab/>
              <w:t xml:space="preserve">udostępnienie użytkownikowi usługi ePłatności przez podmiot publiczny informacji o należnościach; </w:t>
            </w:r>
          </w:p>
          <w:p w14:paraId="6F8BD4E0" w14:textId="77777777" w:rsidR="008C0A5D" w:rsidRPr="00733021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 w:rsidRPr="00733021">
              <w:rPr>
                <w:color w:val="000000"/>
                <w:spacing w:val="-2"/>
              </w:rPr>
              <w:t>2)</w:t>
            </w:r>
            <w:r w:rsidRPr="00733021">
              <w:rPr>
                <w:color w:val="000000"/>
                <w:spacing w:val="-2"/>
              </w:rPr>
              <w:tab/>
              <w:t xml:space="preserve">dokonanie online bezprowizyjnej opłaty należności; </w:t>
            </w:r>
          </w:p>
          <w:p w14:paraId="62728C6F" w14:textId="77777777" w:rsidR="008C0A5D" w:rsidRPr="00733021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 w:rsidRPr="00733021">
              <w:rPr>
                <w:color w:val="000000"/>
                <w:spacing w:val="-2"/>
              </w:rPr>
              <w:t>3)</w:t>
            </w:r>
            <w:r w:rsidRPr="00733021">
              <w:rPr>
                <w:color w:val="000000"/>
                <w:spacing w:val="-2"/>
              </w:rPr>
              <w:tab/>
              <w:t>udost</w:t>
            </w:r>
            <w:r>
              <w:rPr>
                <w:color w:val="000000"/>
                <w:spacing w:val="-2"/>
              </w:rPr>
              <w:t>ę</w:t>
            </w:r>
            <w:r w:rsidRPr="00733021">
              <w:rPr>
                <w:color w:val="000000"/>
                <w:spacing w:val="-2"/>
              </w:rPr>
              <w:t xml:space="preserve">pnienie informacji o statusie płatności; </w:t>
            </w:r>
          </w:p>
          <w:p w14:paraId="5F82704A" w14:textId="77777777" w:rsidR="008C0A5D" w:rsidRPr="00733021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 w:rsidRPr="00733021">
              <w:rPr>
                <w:color w:val="000000"/>
                <w:spacing w:val="-2"/>
              </w:rPr>
              <w:t>4)</w:t>
            </w:r>
            <w:r w:rsidRPr="00733021">
              <w:rPr>
                <w:color w:val="000000"/>
                <w:spacing w:val="-2"/>
              </w:rPr>
              <w:tab/>
              <w:t xml:space="preserve">wystawienie dowodu potwierdzającego dokonanie płatności; </w:t>
            </w:r>
          </w:p>
          <w:p w14:paraId="2A1AAB4A" w14:textId="77777777" w:rsidR="008C0A5D" w:rsidRPr="00733021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 w:rsidRPr="00733021">
              <w:rPr>
                <w:color w:val="000000"/>
                <w:spacing w:val="-2"/>
              </w:rPr>
              <w:t>5)</w:t>
            </w:r>
            <w:r w:rsidRPr="00733021">
              <w:rPr>
                <w:color w:val="000000"/>
                <w:spacing w:val="-2"/>
              </w:rPr>
              <w:tab/>
              <w:t xml:space="preserve">udostępnienie informacji o historii płatności należności udostępnionej w usłudze ePłatności; </w:t>
            </w:r>
          </w:p>
          <w:p w14:paraId="5C29F8A4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 w:rsidRPr="00733021">
              <w:rPr>
                <w:color w:val="000000"/>
                <w:spacing w:val="-2"/>
              </w:rPr>
              <w:t>6)</w:t>
            </w:r>
            <w:r w:rsidRPr="00733021">
              <w:rPr>
                <w:color w:val="000000"/>
                <w:spacing w:val="-2"/>
              </w:rPr>
              <w:tab/>
              <w:t xml:space="preserve">udostępnienie innych rozwiązań służących realizacji elektronicznych transakcji płatniczych. </w:t>
            </w:r>
          </w:p>
          <w:p w14:paraId="5134A5B6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</w:p>
          <w:p w14:paraId="6BC613CD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Usługa ePłatności może zostać zintegrowana z każdą usługą, która kończy się obowiązkiem dokonania płatności. Takimi usługami jest miedzy innymi usługa: wniosek o paszport dla dziecka. Natomiast usługa ePłatności nie tylko będzie związana z innymi usługami, ale może być samodzielną usługą dotyczącą uiszczenia należności np. uiszczenia podatku od nieruchomości, opłaty za gospodarowanie odpadami, podatku rolnego, podatku leśnego itp.</w:t>
            </w:r>
          </w:p>
          <w:p w14:paraId="28F293C3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</w:p>
          <w:p w14:paraId="7D1B7614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Projektowana ustawa ma na celu doprecyzowanie zasad dokonywania płatności za pośrednictwem usługi ePłatności i ich ujednolicenie dla wszystkich zainteresowanych podmiotów publicznych (w tym JST).</w:t>
            </w:r>
            <w:r w:rsidRPr="00733021">
              <w:rPr>
                <w:color w:val="000000"/>
                <w:spacing w:val="-2"/>
              </w:rPr>
              <w:t xml:space="preserve"> </w:t>
            </w:r>
          </w:p>
          <w:p w14:paraId="218DE018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</w:p>
          <w:p w14:paraId="5ADAB1E3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 w:rsidRPr="00126996">
              <w:rPr>
                <w:color w:val="000000"/>
                <w:spacing w:val="-2"/>
              </w:rPr>
              <w:t>Dodatkowo</w:t>
            </w:r>
            <w:r>
              <w:rPr>
                <w:color w:val="000000"/>
                <w:spacing w:val="-2"/>
              </w:rPr>
              <w:t>,</w:t>
            </w:r>
            <w:r w:rsidRPr="00126996">
              <w:rPr>
                <w:color w:val="000000"/>
                <w:spacing w:val="-2"/>
              </w:rPr>
              <w:t xml:space="preserve"> w przypadku gdy wymaga tego bezpieczeństwo udostępnianej usługi, minister właściwy do spraw informatyzacji zostanie wyposażony w instrument umożliwiający czasowe zawieszenia udostępniania usługi</w:t>
            </w:r>
            <w:r>
              <w:rPr>
                <w:color w:val="000000"/>
                <w:spacing w:val="-2"/>
              </w:rPr>
              <w:t xml:space="preserve"> ePłatności</w:t>
            </w:r>
            <w:r w:rsidRPr="00126996">
              <w:rPr>
                <w:color w:val="000000"/>
                <w:spacing w:val="-2"/>
              </w:rPr>
              <w:t>.</w:t>
            </w:r>
          </w:p>
          <w:p w14:paraId="12E74203" w14:textId="77777777" w:rsidR="008C0A5D" w:rsidRPr="00E42E80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/>
                <w:spacing w:val="-2"/>
              </w:rPr>
              <w:t xml:space="preserve">Rozwiązanie informatyczne polega na udostepnieniu usługi ePłatności wspieranej przez system teleinformatyczny - Platformę ePłatności. W celu ograniczenia wprowadzania danych przez użytkownika, zintegrowane podmioty mogą przekazywać dane o powstałym zobowiązaniu lub konfigurować opłaty stałe. Integracja z usługą może dotyczyć systemu dziedzinowego i księgowego podmiotu. Biorąc pod uwagę stopień cyfryzacji podmiotów, dopuszczamy możliwość przekazania danych o zobowiązaniu bezpośrednio do Platformy ePłatności, za pomocą której będzie udostępniona usługa ePłatności. </w:t>
            </w:r>
          </w:p>
          <w:p w14:paraId="4CDC19D2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Usługa ePłatności może być zintegrowana z udostępnionymi e-usługami JST i innych podmiotów publicznych wymagającymi realizacji opłaty w obsługiwanym procesie.</w:t>
            </w:r>
          </w:p>
          <w:p w14:paraId="32D777FD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</w:p>
          <w:p w14:paraId="0F22F191" w14:textId="77777777" w:rsidR="008C0A5D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Ponadto projekt przewiduje, że o</w:t>
            </w:r>
            <w:r w:rsidRPr="004F4628">
              <w:rPr>
                <w:color w:val="000000"/>
                <w:spacing w:val="-2"/>
              </w:rPr>
              <w:t>bsługa płatności</w:t>
            </w:r>
            <w:r>
              <w:rPr>
                <w:color w:val="000000"/>
                <w:spacing w:val="-2"/>
              </w:rPr>
              <w:t xml:space="preserve"> </w:t>
            </w:r>
            <w:r w:rsidRPr="004F4628">
              <w:rPr>
                <w:color w:val="000000"/>
                <w:spacing w:val="-2"/>
              </w:rPr>
              <w:t xml:space="preserve">będzie realizowana przez Bank Gospodarstwa Krajowego na podstawie umowy zawartej pomiędzy Ministrem Cyfryzacji </w:t>
            </w:r>
            <w:r>
              <w:rPr>
                <w:color w:val="000000"/>
                <w:spacing w:val="-2"/>
              </w:rPr>
              <w:t xml:space="preserve">a </w:t>
            </w:r>
            <w:r w:rsidRPr="004F4628">
              <w:rPr>
                <w:color w:val="000000"/>
                <w:spacing w:val="-2"/>
              </w:rPr>
              <w:t>tym bankiem</w:t>
            </w:r>
            <w:r>
              <w:rPr>
                <w:color w:val="000000"/>
                <w:spacing w:val="-2"/>
              </w:rPr>
              <w:t xml:space="preserve">. Bankowi Gospodarstwa Krajowego będzie przysługiwało </w:t>
            </w:r>
            <w:r w:rsidRPr="0028435C">
              <w:rPr>
                <w:color w:val="000000"/>
                <w:spacing w:val="-2"/>
              </w:rPr>
              <w:t>wynagrodzenie z tytułu obsługi transakcji płatniczych ze środków budżetu państwa</w:t>
            </w:r>
            <w:r>
              <w:rPr>
                <w:color w:val="000000"/>
                <w:spacing w:val="-2"/>
              </w:rPr>
              <w:t>,</w:t>
            </w:r>
            <w:r w:rsidRPr="0028435C">
              <w:rPr>
                <w:color w:val="000000"/>
                <w:spacing w:val="-2"/>
              </w:rPr>
              <w:t xml:space="preserve"> z</w:t>
            </w:r>
            <w:r>
              <w:rPr>
                <w:color w:val="000000"/>
                <w:spacing w:val="-2"/>
              </w:rPr>
              <w:t> </w:t>
            </w:r>
            <w:r w:rsidRPr="0028435C">
              <w:rPr>
                <w:color w:val="000000"/>
                <w:spacing w:val="-2"/>
              </w:rPr>
              <w:t>części, której dysponentem jest minister właściwy do spraw informatyzacji</w:t>
            </w:r>
            <w:r>
              <w:rPr>
                <w:color w:val="000000"/>
                <w:spacing w:val="-2"/>
              </w:rPr>
              <w:t xml:space="preserve">. Bank Gospodarstwa Krajowego rozlicza środki z beneficjentem środków oraz pełni rolę agenta rozliczeniowego. Podmioty publiczne będą natomiast pełniły rolę akceptanta. </w:t>
            </w:r>
          </w:p>
          <w:p w14:paraId="4A99F42F" w14:textId="77777777" w:rsidR="008C0A5D" w:rsidRPr="0041199A" w:rsidRDefault="008C0A5D" w:rsidP="00125B4B">
            <w:pPr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</w:p>
          <w:p w14:paraId="0F3984DF" w14:textId="77777777" w:rsidR="008C0A5D" w:rsidRPr="0041199A" w:rsidRDefault="008C0A5D" w:rsidP="00125B4B">
            <w:pPr>
              <w:shd w:val="clear" w:color="auto" w:fill="FFFFFF" w:themeFill="background1"/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 w:rsidRPr="0041199A">
              <w:rPr>
                <w:color w:val="000000"/>
                <w:spacing w:val="-2"/>
              </w:rPr>
              <w:t>Dodatkowo projektowane przepisy przewidują możliwość przeprowadzenia przez Ministra Cyfryzacji naboru na udzielenie dotacji z dostępnych środków finansowych na integrację systemów teleinformatycznych jednostek samorządu terytorialnego z systemem ePłatności.</w:t>
            </w:r>
          </w:p>
          <w:p w14:paraId="2CAB11AA" w14:textId="77777777" w:rsidR="008C0A5D" w:rsidRDefault="008C0A5D" w:rsidP="00125B4B">
            <w:pPr>
              <w:shd w:val="clear" w:color="auto" w:fill="FFFFFF" w:themeFill="background1"/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 w:rsidRPr="0041199A">
              <w:rPr>
                <w:color w:val="000000"/>
                <w:spacing w:val="-2"/>
              </w:rPr>
              <w:t>Dotacje będą miały na celu wsparcie małych jednostek samorządu terytorialnego (o liczbie mieszkańców do 10 tyś) w przystosowaniu i integracji ich systemów z ogólnokrajową Platformą ePłatności, co umożliwi efektywne korzystanie z usługi ePłatności — systemu online służącego do realizacji elektronicznych transakcji płatniczych dotyczących należności publicznych (np. podatków, opłat lokalnych itp.).</w:t>
            </w:r>
            <w:r>
              <w:rPr>
                <w:color w:val="000000"/>
                <w:spacing w:val="-2"/>
              </w:rPr>
              <w:t xml:space="preserve"> W ramach przeprowadzonego Pilotażu, na podstawie informacji od JST o liczbie mieszkańców do 10 tyś, wydatek na integrację z usługą ePłatności okazał się szczególnie istotnym kosztem, często trudnym do poniesienia w ramach budżetu tych jednostek. Warunki udzielenia dotacji zostaną natomiast określone zgodnie z projektowanymi przepisami przez Ministra Cyfryzacji w ogłoszeniu o naborze zamieszczonym w Biuletynie Informacji Publicznej. </w:t>
            </w:r>
          </w:p>
          <w:p w14:paraId="39D17881" w14:textId="77777777" w:rsidR="008C0A5D" w:rsidRDefault="008C0A5D" w:rsidP="00125B4B">
            <w:pPr>
              <w:shd w:val="clear" w:color="auto" w:fill="FFFFFF" w:themeFill="background1"/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</w:p>
          <w:p w14:paraId="3408CD39" w14:textId="77777777" w:rsidR="008C0A5D" w:rsidRPr="0041199A" w:rsidRDefault="008C0A5D" w:rsidP="00125B4B">
            <w:pPr>
              <w:shd w:val="clear" w:color="auto" w:fill="FFFFFF" w:themeFill="background1"/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Korzyścią dla obywateli z wdrożenia usługi ePłatności będzie przede wszystkim dostęp do informacji o należnościach w ramach jednej aplikacji i możliwość bezprowizyjnego dokonania opłat.</w:t>
            </w:r>
          </w:p>
          <w:p w14:paraId="50B5CDCF" w14:textId="77777777" w:rsidR="008C0A5D" w:rsidRPr="00B740C8" w:rsidRDefault="008C0A5D" w:rsidP="00125B4B">
            <w:pPr>
              <w:shd w:val="clear" w:color="auto" w:fill="FFFFFF" w:themeFill="background1"/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 w:rsidRPr="0041199A">
              <w:rPr>
                <w:color w:val="000000"/>
                <w:spacing w:val="-2"/>
              </w:rPr>
              <w:lastRenderedPageBreak/>
              <w:t>Wprowadzenie tego mechanizmu ma przyspieszyć cyfryzację i standaryzację procesów płatniczych w administracji samorządowej oraz zwiększyć dostępność i wygodę korzystania z ePłatności przez obywateli i przedsiębiorców.</w:t>
            </w:r>
          </w:p>
        </w:tc>
      </w:tr>
      <w:tr w:rsidR="008C0A5D" w:rsidRPr="00FE1A39" w14:paraId="749A24C0" w14:textId="77777777" w:rsidTr="00484D74">
        <w:trPr>
          <w:gridAfter w:val="1"/>
          <w:wAfter w:w="7" w:type="dxa"/>
          <w:trHeight w:val="307"/>
        </w:trPr>
        <w:tc>
          <w:tcPr>
            <w:tcW w:w="10796" w:type="dxa"/>
            <w:gridSpan w:val="20"/>
            <w:shd w:val="clear" w:color="auto" w:fill="99CCFF"/>
            <w:vAlign w:val="center"/>
          </w:tcPr>
          <w:p w14:paraId="0AE0FEC3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bCs/>
                <w:color w:val="000000"/>
              </w:rPr>
            </w:pPr>
            <w:r w:rsidRPr="0CEDF06E">
              <w:rPr>
                <w:b/>
                <w:bCs/>
                <w:spacing w:val="-2"/>
              </w:rPr>
              <w:lastRenderedPageBreak/>
              <w:t>Jak problem został rozwiązany w innych krajach, w szczególności krajach członkowskich OECD/UE</w:t>
            </w:r>
            <w:r w:rsidRPr="0CEDF06E">
              <w:rPr>
                <w:b/>
                <w:bCs/>
                <w:color w:val="000000"/>
              </w:rPr>
              <w:t>?</w:t>
            </w:r>
            <w:r w:rsidRPr="0CEDF06E">
              <w:rPr>
                <w:i/>
                <w:iCs/>
                <w:color w:val="000000"/>
              </w:rPr>
              <w:t xml:space="preserve"> </w:t>
            </w:r>
          </w:p>
        </w:tc>
      </w:tr>
      <w:tr w:rsidR="008C0A5D" w:rsidRPr="00E000B2" w14:paraId="61B1FD56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</w:tcPr>
          <w:p w14:paraId="5880D681" w14:textId="77777777" w:rsidR="008C0A5D" w:rsidRPr="00E000B2" w:rsidRDefault="008C0A5D" w:rsidP="00125B4B">
            <w:pPr>
              <w:spacing w:after="120"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N</w:t>
            </w:r>
            <w:r w:rsidRPr="009B19E2">
              <w:rPr>
                <w:color w:val="000000"/>
                <w:spacing w:val="-2"/>
              </w:rPr>
              <w:t>ie dotyczy</w:t>
            </w:r>
            <w:r>
              <w:rPr>
                <w:color w:val="000000"/>
                <w:spacing w:val="-2"/>
              </w:rPr>
              <w:t>.</w:t>
            </w:r>
          </w:p>
        </w:tc>
      </w:tr>
      <w:tr w:rsidR="008C0A5D" w:rsidRPr="00FE1A39" w14:paraId="25A41DEE" w14:textId="77777777" w:rsidTr="00484D74">
        <w:trPr>
          <w:gridAfter w:val="1"/>
          <w:wAfter w:w="7" w:type="dxa"/>
          <w:trHeight w:val="359"/>
        </w:trPr>
        <w:tc>
          <w:tcPr>
            <w:tcW w:w="10796" w:type="dxa"/>
            <w:gridSpan w:val="20"/>
            <w:shd w:val="clear" w:color="auto" w:fill="99CCFF"/>
            <w:vAlign w:val="center"/>
          </w:tcPr>
          <w:p w14:paraId="0450AA5B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t>Podmioty, na które oddziałuje projekt</w:t>
            </w:r>
          </w:p>
        </w:tc>
      </w:tr>
      <w:tr w:rsidR="008C0A5D" w:rsidRPr="00FE1A39" w14:paraId="0B2C191B" w14:textId="77777777" w:rsidTr="00484D74">
        <w:trPr>
          <w:gridAfter w:val="1"/>
          <w:wAfter w:w="7" w:type="dxa"/>
          <w:trHeight w:val="142"/>
        </w:trPr>
        <w:tc>
          <w:tcPr>
            <w:tcW w:w="1731" w:type="dxa"/>
            <w:gridSpan w:val="2"/>
          </w:tcPr>
          <w:p w14:paraId="241D0822" w14:textId="77777777" w:rsidR="008C0A5D" w:rsidRPr="00FE1A39" w:rsidRDefault="008C0A5D" w:rsidP="00125B4B">
            <w:pPr>
              <w:spacing w:before="40" w:line="240" w:lineRule="auto"/>
              <w:jc w:val="center"/>
              <w:rPr>
                <w:color w:val="000000"/>
                <w:spacing w:val="-2"/>
              </w:rPr>
            </w:pPr>
            <w:r w:rsidRPr="00FE1A39">
              <w:rPr>
                <w:color w:val="000000"/>
                <w:spacing w:val="-2"/>
              </w:rPr>
              <w:t>Grupa</w:t>
            </w:r>
          </w:p>
        </w:tc>
        <w:tc>
          <w:tcPr>
            <w:tcW w:w="1275" w:type="dxa"/>
            <w:gridSpan w:val="2"/>
          </w:tcPr>
          <w:p w14:paraId="08CDBD92" w14:textId="77777777" w:rsidR="008C0A5D" w:rsidRPr="00FE1A39" w:rsidRDefault="008C0A5D" w:rsidP="00125B4B">
            <w:pPr>
              <w:spacing w:before="40" w:line="240" w:lineRule="auto"/>
              <w:jc w:val="center"/>
              <w:rPr>
                <w:color w:val="000000"/>
                <w:spacing w:val="-2"/>
              </w:rPr>
            </w:pPr>
            <w:r w:rsidRPr="00FE1A39">
              <w:rPr>
                <w:color w:val="000000"/>
                <w:spacing w:val="-2"/>
              </w:rPr>
              <w:t>Wielkość</w:t>
            </w:r>
          </w:p>
        </w:tc>
        <w:tc>
          <w:tcPr>
            <w:tcW w:w="4287" w:type="dxa"/>
            <w:gridSpan w:val="10"/>
          </w:tcPr>
          <w:p w14:paraId="57EE4CE0" w14:textId="77777777" w:rsidR="008C0A5D" w:rsidRPr="00FE1A39" w:rsidRDefault="008C0A5D" w:rsidP="00125B4B">
            <w:pPr>
              <w:spacing w:before="40" w:line="240" w:lineRule="auto"/>
              <w:jc w:val="center"/>
              <w:rPr>
                <w:color w:val="000000"/>
                <w:spacing w:val="-2"/>
              </w:rPr>
            </w:pPr>
            <w:r w:rsidRPr="00FE1A39">
              <w:rPr>
                <w:color w:val="000000"/>
                <w:spacing w:val="-2"/>
              </w:rPr>
              <w:t>Źródło danych</w:t>
            </w:r>
            <w:r w:rsidRPr="00FE1A39" w:rsidDel="00260F33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3503" w:type="dxa"/>
            <w:gridSpan w:val="6"/>
          </w:tcPr>
          <w:p w14:paraId="6C08081C" w14:textId="77777777" w:rsidR="008C0A5D" w:rsidRPr="00FE1A39" w:rsidRDefault="008C0A5D" w:rsidP="00125B4B">
            <w:pPr>
              <w:spacing w:before="40" w:line="240" w:lineRule="auto"/>
              <w:jc w:val="center"/>
              <w:rPr>
                <w:color w:val="000000"/>
                <w:spacing w:val="-2"/>
              </w:rPr>
            </w:pPr>
            <w:r w:rsidRPr="00FE1A39">
              <w:rPr>
                <w:color w:val="000000"/>
                <w:spacing w:val="-2"/>
              </w:rPr>
              <w:t>Oddziaływanie</w:t>
            </w:r>
          </w:p>
        </w:tc>
      </w:tr>
      <w:tr w:rsidR="008C0A5D" w:rsidRPr="00FE1A39" w14:paraId="6AD0FBE5" w14:textId="77777777" w:rsidTr="00484D74">
        <w:trPr>
          <w:gridAfter w:val="1"/>
          <w:wAfter w:w="7" w:type="dxa"/>
          <w:trHeight w:val="142"/>
        </w:trPr>
        <w:tc>
          <w:tcPr>
            <w:tcW w:w="1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BC8E5" w14:textId="77777777" w:rsidR="008C0A5D" w:rsidRPr="00E000B2" w:rsidRDefault="008C0A5D" w:rsidP="00125B4B">
            <w:pPr>
              <w:suppressAutoHyphens/>
              <w:spacing w:line="240" w:lineRule="auto"/>
              <w:rPr>
                <w:rFonts w:eastAsia="Times New Roman"/>
              </w:rPr>
            </w:pPr>
            <w:r w:rsidRPr="00E000B2">
              <w:rPr>
                <w:rFonts w:eastAsia="Times New Roman"/>
              </w:rPr>
              <w:t xml:space="preserve">Obywatele RP </w:t>
            </w:r>
            <w:r w:rsidRPr="0028435C">
              <w:rPr>
                <w:rFonts w:eastAsia="Times New Roman"/>
              </w:rPr>
              <w:t>korzystający z profilu zaufanego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6D9D9" w14:textId="77777777" w:rsidR="008C0A5D" w:rsidRPr="0041199A" w:rsidRDefault="008C0A5D" w:rsidP="00125B4B">
            <w:pPr>
              <w:suppressAutoHyphens/>
              <w:spacing w:line="240" w:lineRule="auto"/>
              <w:rPr>
                <w:rFonts w:eastAsia="Times New Roman"/>
              </w:rPr>
            </w:pPr>
            <w:r w:rsidRPr="0041199A">
              <w:rPr>
                <w:color w:val="000000"/>
                <w:spacing w:val="-2"/>
              </w:rPr>
              <w:t xml:space="preserve">ok. 13 866 186 aktywnych profili zaufanych </w:t>
            </w:r>
          </w:p>
        </w:tc>
        <w:tc>
          <w:tcPr>
            <w:tcW w:w="42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03FCF" w14:textId="77777777" w:rsidR="008C0A5D" w:rsidRPr="00E000B2" w:rsidRDefault="008C0A5D" w:rsidP="00125B4B">
            <w:pPr>
              <w:suppressAutoHyphens/>
              <w:spacing w:line="240" w:lineRule="auto"/>
              <w:rPr>
                <w:rFonts w:eastAsia="Times New Roman"/>
              </w:rPr>
            </w:pPr>
            <w:r>
              <w:rPr>
                <w:color w:val="000000"/>
                <w:spacing w:val="-2"/>
              </w:rPr>
              <w:t xml:space="preserve">Dane własne </w:t>
            </w:r>
          </w:p>
        </w:tc>
        <w:tc>
          <w:tcPr>
            <w:tcW w:w="35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CCA35" w14:textId="77777777" w:rsidR="008C0A5D" w:rsidRDefault="008C0A5D" w:rsidP="00125B4B">
            <w:pPr>
              <w:suppressAutoHyphens/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Możliwość korzystania z usługi realizującej</w:t>
            </w:r>
            <w:r w:rsidRPr="00032653">
              <w:rPr>
                <w:color w:val="000000"/>
                <w:spacing w:val="-2"/>
              </w:rPr>
              <w:t xml:space="preserve"> elektroniczn</w:t>
            </w:r>
            <w:r>
              <w:rPr>
                <w:color w:val="000000"/>
                <w:spacing w:val="-2"/>
              </w:rPr>
              <w:t>e</w:t>
            </w:r>
            <w:r w:rsidRPr="00032653">
              <w:rPr>
                <w:color w:val="000000"/>
                <w:spacing w:val="-2"/>
              </w:rPr>
              <w:t xml:space="preserve"> transakcj</w:t>
            </w:r>
            <w:r>
              <w:rPr>
                <w:color w:val="000000"/>
                <w:spacing w:val="-2"/>
              </w:rPr>
              <w:t>e</w:t>
            </w:r>
            <w:r w:rsidRPr="00032653">
              <w:rPr>
                <w:color w:val="000000"/>
                <w:spacing w:val="-2"/>
              </w:rPr>
              <w:t xml:space="preserve"> płatnicz</w:t>
            </w:r>
            <w:r>
              <w:rPr>
                <w:color w:val="000000"/>
                <w:spacing w:val="-2"/>
              </w:rPr>
              <w:t>e</w:t>
            </w:r>
          </w:p>
          <w:p w14:paraId="24461D36" w14:textId="77777777" w:rsidR="008C0A5D" w:rsidRDefault="008C0A5D" w:rsidP="00125B4B">
            <w:pPr>
              <w:suppressAutoHyphens/>
              <w:spacing w:line="240" w:lineRule="auto"/>
              <w:rPr>
                <w:color w:val="000000"/>
                <w:spacing w:val="-2"/>
              </w:rPr>
            </w:pPr>
          </w:p>
          <w:p w14:paraId="30DB5ECF" w14:textId="77777777" w:rsidR="008C0A5D" w:rsidRPr="00E0011D" w:rsidRDefault="008C0A5D" w:rsidP="00125B4B">
            <w:pPr>
              <w:shd w:val="clear" w:color="auto" w:fill="FFFFFF" w:themeFill="background1"/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Dostęp do informacji o należnościach w ramach jednej aplikacji i możliwość bezprowizyjnego dokonania opłat</w:t>
            </w:r>
          </w:p>
        </w:tc>
      </w:tr>
      <w:tr w:rsidR="008C0A5D" w:rsidRPr="00FE1A39" w14:paraId="24EA5E71" w14:textId="77777777" w:rsidTr="00484D74">
        <w:trPr>
          <w:gridAfter w:val="1"/>
          <w:wAfter w:w="7" w:type="dxa"/>
          <w:trHeight w:val="142"/>
        </w:trPr>
        <w:tc>
          <w:tcPr>
            <w:tcW w:w="1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7214" w14:textId="77777777" w:rsidR="008C0A5D" w:rsidRPr="00E000B2" w:rsidRDefault="008C0A5D" w:rsidP="00125B4B">
            <w:pPr>
              <w:suppressAutoHyphens/>
              <w:spacing w:line="240" w:lineRule="auto"/>
              <w:rPr>
                <w:rFonts w:eastAsia="Times New Roman"/>
                <w:color w:val="000000"/>
              </w:rPr>
            </w:pPr>
            <w:r w:rsidRPr="00E000B2">
              <w:rPr>
                <w:rFonts w:eastAsia="Times New Roman"/>
                <w:color w:val="000000"/>
              </w:rPr>
              <w:t>Minister właściwy do spraw informatyzacji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16D10" w14:textId="77777777" w:rsidR="008C0A5D" w:rsidRPr="00E000B2" w:rsidRDefault="008C0A5D" w:rsidP="00125B4B">
            <w:pPr>
              <w:suppressAutoHyphens/>
              <w:spacing w:line="240" w:lineRule="auto"/>
              <w:jc w:val="both"/>
              <w:rPr>
                <w:color w:val="000000"/>
              </w:rPr>
            </w:pPr>
            <w:r w:rsidRPr="00E000B2">
              <w:rPr>
                <w:color w:val="000000"/>
              </w:rPr>
              <w:t>1</w:t>
            </w:r>
          </w:p>
        </w:tc>
        <w:tc>
          <w:tcPr>
            <w:tcW w:w="42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1EC22" w14:textId="77777777" w:rsidR="008C0A5D" w:rsidRPr="00E000B2" w:rsidRDefault="008C0A5D" w:rsidP="00125B4B">
            <w:pPr>
              <w:suppressAutoHyphens/>
              <w:spacing w:line="240" w:lineRule="auto"/>
              <w:rPr>
                <w:rFonts w:eastAsia="Times New Roman"/>
              </w:rPr>
            </w:pPr>
            <w:r w:rsidRPr="00E000B2">
              <w:rPr>
                <w:rFonts w:eastAsia="Times New Roman"/>
              </w:rPr>
              <w:t>Informacja ogólnodostępna/akty prawa normatywnego</w:t>
            </w:r>
          </w:p>
        </w:tc>
        <w:tc>
          <w:tcPr>
            <w:tcW w:w="35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CAECA" w14:textId="77777777" w:rsidR="008C0A5D" w:rsidRPr="00E000B2" w:rsidRDefault="008C0A5D" w:rsidP="00125B4B">
            <w:pPr>
              <w:suppressAutoHyphens/>
              <w:spacing w:line="240" w:lineRule="auto"/>
              <w:rPr>
                <w:rFonts w:eastAsia="Times New Roman"/>
                <w:color w:val="000000"/>
              </w:rPr>
            </w:pPr>
            <w:r w:rsidRPr="00E000B2">
              <w:rPr>
                <w:rFonts w:eastAsia="Times New Roman"/>
                <w:color w:val="000000"/>
              </w:rPr>
              <w:t>Organ udost</w:t>
            </w:r>
            <w:r>
              <w:rPr>
                <w:rFonts w:eastAsia="Times New Roman"/>
                <w:color w:val="000000"/>
              </w:rPr>
              <w:t>ę</w:t>
            </w:r>
            <w:r w:rsidRPr="00E000B2">
              <w:rPr>
                <w:rFonts w:eastAsia="Times New Roman"/>
                <w:color w:val="000000"/>
              </w:rPr>
              <w:t xml:space="preserve">pniający, rozwijający </w:t>
            </w:r>
            <w:r>
              <w:rPr>
                <w:rFonts w:eastAsia="Times New Roman"/>
                <w:color w:val="000000"/>
              </w:rPr>
              <w:t>aplikację obsługującą</w:t>
            </w:r>
            <w:r w:rsidRPr="00032653">
              <w:rPr>
                <w:rFonts w:eastAsia="Times New Roman"/>
                <w:color w:val="000000"/>
              </w:rPr>
              <w:t xml:space="preserve"> elektronicz</w:t>
            </w:r>
            <w:r>
              <w:rPr>
                <w:rFonts w:eastAsia="Times New Roman"/>
                <w:color w:val="000000"/>
              </w:rPr>
              <w:t xml:space="preserve">ne </w:t>
            </w:r>
            <w:r w:rsidRPr="00032653">
              <w:rPr>
                <w:rFonts w:eastAsia="Times New Roman"/>
                <w:color w:val="000000"/>
              </w:rPr>
              <w:t>transakcj</w:t>
            </w:r>
            <w:r>
              <w:rPr>
                <w:rFonts w:eastAsia="Times New Roman"/>
                <w:color w:val="000000"/>
              </w:rPr>
              <w:t>e</w:t>
            </w:r>
            <w:r w:rsidRPr="00032653">
              <w:rPr>
                <w:rFonts w:eastAsia="Times New Roman"/>
                <w:color w:val="000000"/>
              </w:rPr>
              <w:t xml:space="preserve"> płatnicz</w:t>
            </w:r>
            <w:r>
              <w:rPr>
                <w:rFonts w:eastAsia="Times New Roman"/>
                <w:color w:val="000000"/>
              </w:rPr>
              <w:t>e</w:t>
            </w:r>
          </w:p>
        </w:tc>
      </w:tr>
      <w:tr w:rsidR="008C0A5D" w:rsidRPr="00FE1A39" w14:paraId="4FC2E7C4" w14:textId="77777777" w:rsidTr="00484D74">
        <w:trPr>
          <w:gridAfter w:val="1"/>
          <w:wAfter w:w="7" w:type="dxa"/>
          <w:trHeight w:val="142"/>
        </w:trPr>
        <w:tc>
          <w:tcPr>
            <w:tcW w:w="1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5CD79" w14:textId="77777777" w:rsidR="008C0A5D" w:rsidRPr="00E000B2" w:rsidRDefault="008C0A5D" w:rsidP="00125B4B">
            <w:pPr>
              <w:suppressAutoHyphens/>
              <w:spacing w:line="240" w:lineRule="auto"/>
            </w:pPr>
            <w:r w:rsidRPr="001019FC">
              <w:t>Bank Gospodarstwa Krajowego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86C2F" w14:textId="77777777" w:rsidR="008C0A5D" w:rsidRPr="00E000B2" w:rsidRDefault="008C0A5D" w:rsidP="00125B4B">
            <w:pPr>
              <w:suppressAutoHyphens/>
              <w:spacing w:line="240" w:lineRule="auto"/>
              <w:jc w:val="both"/>
              <w:rPr>
                <w:color w:val="000000"/>
                <w:spacing w:val="-2"/>
              </w:rPr>
            </w:pPr>
            <w:r w:rsidRPr="00033E2B">
              <w:rPr>
                <w:color w:val="000000"/>
                <w:spacing w:val="-2"/>
              </w:rPr>
              <w:t>1</w:t>
            </w:r>
          </w:p>
        </w:tc>
        <w:tc>
          <w:tcPr>
            <w:tcW w:w="42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AF6A8" w14:textId="77777777" w:rsidR="008C0A5D" w:rsidRPr="00E000B2" w:rsidRDefault="008C0A5D" w:rsidP="00125B4B">
            <w:pPr>
              <w:suppressAutoHyphens/>
              <w:spacing w:line="240" w:lineRule="auto"/>
              <w:rPr>
                <w:color w:val="000000"/>
                <w:spacing w:val="-2"/>
              </w:rPr>
            </w:pPr>
            <w:r w:rsidRPr="00033E2B">
              <w:rPr>
                <w:color w:val="000000"/>
                <w:spacing w:val="-2"/>
              </w:rPr>
              <w:t>Informacja ogólnie dostępna</w:t>
            </w:r>
          </w:p>
        </w:tc>
        <w:tc>
          <w:tcPr>
            <w:tcW w:w="35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54B9F" w14:textId="77777777" w:rsidR="008C0A5D" w:rsidRPr="00E000B2" w:rsidRDefault="008C0A5D" w:rsidP="00125B4B">
            <w:pPr>
              <w:suppressAutoHyphens/>
              <w:spacing w:line="240" w:lineRule="auto"/>
              <w:rPr>
                <w:color w:val="000000"/>
                <w:spacing w:val="-2"/>
              </w:rPr>
            </w:pPr>
            <w:r w:rsidRPr="00033E2B">
              <w:rPr>
                <w:color w:val="000000"/>
                <w:spacing w:val="-2"/>
              </w:rPr>
              <w:t>Obsługa przyjmowania transakcji płatniczych na rzecz podmiotów publicznych</w:t>
            </w:r>
          </w:p>
        </w:tc>
      </w:tr>
      <w:tr w:rsidR="008C0A5D" w:rsidRPr="00FE1A39" w14:paraId="0E3D2018" w14:textId="77777777" w:rsidTr="00484D74">
        <w:trPr>
          <w:gridAfter w:val="1"/>
          <w:wAfter w:w="7" w:type="dxa"/>
          <w:trHeight w:val="142"/>
        </w:trPr>
        <w:tc>
          <w:tcPr>
            <w:tcW w:w="1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23A00" w14:textId="77777777" w:rsidR="008C0A5D" w:rsidRPr="001019FC" w:rsidRDefault="008C0A5D" w:rsidP="00125B4B">
            <w:pPr>
              <w:suppressAutoHyphens/>
              <w:spacing w:line="240" w:lineRule="auto"/>
            </w:pPr>
            <w:r>
              <w:t>Jednostki Samorządu Terytorialnego (JST)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7C5C7" w14:textId="77777777" w:rsidR="008C0A5D" w:rsidRPr="00033E2B" w:rsidRDefault="008C0A5D" w:rsidP="00125B4B">
            <w:pPr>
              <w:suppressAutoHyphens/>
              <w:spacing w:line="240" w:lineRule="auto"/>
              <w:jc w:val="both"/>
              <w:rPr>
                <w:color w:val="000000"/>
                <w:spacing w:val="-2"/>
              </w:rPr>
            </w:pPr>
            <w:r>
              <w:t>2479</w:t>
            </w:r>
          </w:p>
        </w:tc>
        <w:tc>
          <w:tcPr>
            <w:tcW w:w="42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B2A7B" w14:textId="77777777" w:rsidR="008C0A5D" w:rsidRPr="00033E2B" w:rsidRDefault="008C0A5D" w:rsidP="00125B4B">
            <w:pPr>
              <w:suppressAutoHyphens/>
              <w:spacing w:line="240" w:lineRule="auto"/>
              <w:rPr>
                <w:color w:val="000000"/>
                <w:spacing w:val="-2"/>
              </w:rPr>
            </w:pPr>
            <w:r w:rsidRPr="00E000B2">
              <w:rPr>
                <w:rFonts w:eastAsia="Times New Roman"/>
              </w:rPr>
              <w:t>Informacja ogólnodostępna</w:t>
            </w:r>
          </w:p>
        </w:tc>
        <w:tc>
          <w:tcPr>
            <w:tcW w:w="35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96A3B" w14:textId="77777777" w:rsidR="008C0A5D" w:rsidRPr="00033E2B" w:rsidRDefault="008C0A5D" w:rsidP="00125B4B">
            <w:pPr>
              <w:suppressAutoHyphens/>
              <w:spacing w:line="240" w:lineRule="auto"/>
              <w:rPr>
                <w:color w:val="000000"/>
                <w:spacing w:val="-2"/>
              </w:rPr>
            </w:pPr>
            <w:r>
              <w:t xml:space="preserve">Możliwość kontynuacji pilotażu ePłatności </w:t>
            </w:r>
          </w:p>
        </w:tc>
      </w:tr>
      <w:tr w:rsidR="008C0A5D" w:rsidRPr="00FE1A39" w14:paraId="36FCECC3" w14:textId="77777777" w:rsidTr="00484D74">
        <w:trPr>
          <w:gridAfter w:val="1"/>
          <w:wAfter w:w="7" w:type="dxa"/>
          <w:trHeight w:val="142"/>
        </w:trPr>
        <w:tc>
          <w:tcPr>
            <w:tcW w:w="1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4F735" w14:textId="77777777" w:rsidR="008C0A5D" w:rsidRDefault="008C0A5D" w:rsidP="00125B4B">
            <w:pPr>
              <w:suppressAutoHyphens/>
              <w:spacing w:line="240" w:lineRule="auto"/>
            </w:pPr>
            <w:r>
              <w:t>Podmioty publiczne inne niż JST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C98D4" w14:textId="77777777" w:rsidR="008C0A5D" w:rsidRPr="009E7D2E" w:rsidRDefault="008C0A5D" w:rsidP="00125B4B">
            <w:pPr>
              <w:suppressAutoHyphens/>
              <w:spacing w:line="240" w:lineRule="auto"/>
              <w:jc w:val="both"/>
              <w:rPr>
                <w:i/>
                <w:iCs/>
              </w:rPr>
            </w:pPr>
            <w:r w:rsidRPr="0041199A">
              <w:t> ok</w:t>
            </w:r>
            <w:r>
              <w:t xml:space="preserve"> 62 000</w:t>
            </w:r>
          </w:p>
        </w:tc>
        <w:tc>
          <w:tcPr>
            <w:tcW w:w="42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FB810" w14:textId="77777777" w:rsidR="008C0A5D" w:rsidRDefault="008C0A5D" w:rsidP="00125B4B">
            <w:pPr>
              <w:suppressAutoHyphens/>
              <w:spacing w:line="240" w:lineRule="auto"/>
            </w:pPr>
            <w:r>
              <w:t>Centralny Ośrodek Informacji Gospodarczej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4F662" w14:textId="77777777" w:rsidR="008C0A5D" w:rsidRDefault="008C0A5D" w:rsidP="00125B4B">
            <w:pPr>
              <w:suppressAutoHyphens/>
              <w:spacing w:line="240" w:lineRule="auto"/>
            </w:pPr>
            <w:r>
              <w:t>Możliwość przyjmowania płatności za pomocą usługi realizującej elektroniczne transakcje płatnicze</w:t>
            </w:r>
          </w:p>
        </w:tc>
      </w:tr>
      <w:tr w:rsidR="008C0A5D" w:rsidRPr="00FE1A39" w14:paraId="311B0FD6" w14:textId="77777777" w:rsidTr="00484D74">
        <w:trPr>
          <w:gridAfter w:val="1"/>
          <w:wAfter w:w="7" w:type="dxa"/>
          <w:trHeight w:val="302"/>
        </w:trPr>
        <w:tc>
          <w:tcPr>
            <w:tcW w:w="10796" w:type="dxa"/>
            <w:gridSpan w:val="20"/>
            <w:shd w:val="clear" w:color="auto" w:fill="99CCFF"/>
            <w:vAlign w:val="center"/>
          </w:tcPr>
          <w:p w14:paraId="2013C28B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8C0A5D" w:rsidRPr="00FE1A39" w14:paraId="6A14ECEC" w14:textId="77777777" w:rsidTr="00484D74">
        <w:trPr>
          <w:gridAfter w:val="1"/>
          <w:wAfter w:w="7" w:type="dxa"/>
          <w:trHeight w:val="342"/>
        </w:trPr>
        <w:tc>
          <w:tcPr>
            <w:tcW w:w="10796" w:type="dxa"/>
            <w:gridSpan w:val="20"/>
            <w:shd w:val="clear" w:color="auto" w:fill="FFFFFF" w:themeFill="background1"/>
          </w:tcPr>
          <w:p w14:paraId="763B4733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731D65">
              <w:rPr>
                <w:color w:val="000000"/>
                <w:spacing w:val="-2"/>
              </w:rPr>
              <w:t>Projekt zosta</w:t>
            </w:r>
            <w:r>
              <w:rPr>
                <w:color w:val="000000"/>
                <w:spacing w:val="-2"/>
              </w:rPr>
              <w:t>nie</w:t>
            </w:r>
            <w:r w:rsidRPr="00731D65">
              <w:rPr>
                <w:color w:val="000000"/>
                <w:spacing w:val="-2"/>
              </w:rPr>
              <w:t xml:space="preserve"> udostępniony w Biuletynie Informacji Publicznej na stronie </w:t>
            </w:r>
            <w:r>
              <w:rPr>
                <w:color w:val="000000"/>
                <w:spacing w:val="-2"/>
              </w:rPr>
              <w:t xml:space="preserve">podmiotowej </w:t>
            </w:r>
            <w:r w:rsidRPr="00731D65">
              <w:rPr>
                <w:color w:val="000000"/>
                <w:spacing w:val="-2"/>
              </w:rPr>
              <w:t>Rządowego Centrum Legislacji w</w:t>
            </w:r>
            <w:r>
              <w:rPr>
                <w:color w:val="000000"/>
                <w:spacing w:val="-2"/>
              </w:rPr>
              <w:t> </w:t>
            </w:r>
            <w:r w:rsidRPr="00731D65">
              <w:rPr>
                <w:color w:val="000000"/>
                <w:spacing w:val="-2"/>
              </w:rPr>
              <w:t>zakładce „Rządowy Proces Legislacyjny” zgodnie z § 52 ust. 1 uchwały nr 190 Rady Ministrów z dnia 29</w:t>
            </w:r>
            <w:r>
              <w:rPr>
                <w:color w:val="000000"/>
                <w:spacing w:val="-2"/>
              </w:rPr>
              <w:t> </w:t>
            </w:r>
            <w:r w:rsidRPr="00731D65">
              <w:rPr>
                <w:color w:val="000000"/>
                <w:spacing w:val="-2"/>
              </w:rPr>
              <w:t>października 2013 r. – Regulamin pracy Rady Ministrów (M.P. z 20</w:t>
            </w:r>
            <w:r>
              <w:rPr>
                <w:color w:val="000000"/>
                <w:spacing w:val="-2"/>
              </w:rPr>
              <w:t>24</w:t>
            </w:r>
            <w:r w:rsidRPr="00731D65">
              <w:rPr>
                <w:color w:val="000000"/>
                <w:spacing w:val="-2"/>
              </w:rPr>
              <w:t xml:space="preserve"> r. poz. </w:t>
            </w:r>
            <w:r>
              <w:rPr>
                <w:color w:val="000000"/>
                <w:spacing w:val="-2"/>
              </w:rPr>
              <w:t>806 oraz 2025 poz. 408)</w:t>
            </w:r>
            <w:r w:rsidRPr="00731D65">
              <w:rPr>
                <w:color w:val="000000"/>
                <w:spacing w:val="-2"/>
              </w:rPr>
              <w:t xml:space="preserve">, </w:t>
            </w:r>
            <w:r>
              <w:rPr>
                <w:color w:val="000000"/>
                <w:spacing w:val="-2"/>
              </w:rPr>
              <w:t>a także</w:t>
            </w:r>
            <w:r w:rsidRPr="00731D65">
              <w:rPr>
                <w:color w:val="000000"/>
                <w:spacing w:val="-2"/>
              </w:rPr>
              <w:t xml:space="preserve"> –</w:t>
            </w:r>
            <w:r>
              <w:rPr>
                <w:color w:val="000000"/>
                <w:spacing w:val="-2"/>
              </w:rPr>
              <w:t xml:space="preserve"> </w:t>
            </w:r>
            <w:r w:rsidRPr="00731D65">
              <w:rPr>
                <w:color w:val="000000"/>
                <w:spacing w:val="-2"/>
              </w:rPr>
              <w:t>stosownie do wymogów art. 5 ustawy z dnia 7 lipca 2005 r. o działalności lobbingowej w procesie stanowienia prawa (Dz. U. z 20</w:t>
            </w:r>
            <w:r>
              <w:rPr>
                <w:color w:val="000000"/>
                <w:spacing w:val="-2"/>
              </w:rPr>
              <w:t>25</w:t>
            </w:r>
            <w:r w:rsidRPr="00731D65">
              <w:rPr>
                <w:color w:val="000000"/>
                <w:spacing w:val="-2"/>
              </w:rPr>
              <w:t xml:space="preserve"> r. poz. </w:t>
            </w:r>
            <w:r>
              <w:rPr>
                <w:color w:val="000000"/>
                <w:spacing w:val="-2"/>
              </w:rPr>
              <w:t>677</w:t>
            </w:r>
            <w:r w:rsidRPr="00731D65">
              <w:rPr>
                <w:color w:val="000000"/>
                <w:spacing w:val="-2"/>
              </w:rPr>
              <w:t>)</w:t>
            </w:r>
            <w:r>
              <w:t xml:space="preserve"> </w:t>
            </w:r>
            <w:r w:rsidRPr="00731D65">
              <w:rPr>
                <w:color w:val="000000"/>
                <w:spacing w:val="-2"/>
              </w:rPr>
              <w:t>–</w:t>
            </w:r>
            <w:r>
              <w:t xml:space="preserve"> </w:t>
            </w:r>
            <w:r w:rsidRPr="008202A2">
              <w:rPr>
                <w:color w:val="000000"/>
                <w:spacing w:val="-2"/>
              </w:rPr>
              <w:t>w Biuletynie Informacji Publicznej Ministra Cyfryzacji</w:t>
            </w:r>
            <w:r w:rsidRPr="00731D65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2"/>
              </w:rPr>
              <w:t xml:space="preserve"> </w:t>
            </w:r>
          </w:p>
          <w:p w14:paraId="5B277426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</w:p>
          <w:p w14:paraId="139FC321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8202A2">
              <w:rPr>
                <w:color w:val="000000"/>
                <w:spacing w:val="-2"/>
              </w:rPr>
              <w:t>Projekt ustawy zostanie przekazany do zaopiniowania w terminie 21 dni przez:</w:t>
            </w:r>
          </w:p>
          <w:p w14:paraId="730D7CFC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8202A2">
              <w:rPr>
                <w:color w:val="000000"/>
                <w:spacing w:val="-2"/>
              </w:rPr>
              <w:t>1)</w:t>
            </w:r>
            <w:r>
              <w:rPr>
                <w:color w:val="000000"/>
                <w:spacing w:val="-2"/>
              </w:rPr>
              <w:t xml:space="preserve"> </w:t>
            </w:r>
            <w:r w:rsidRPr="008202A2">
              <w:rPr>
                <w:color w:val="000000"/>
                <w:spacing w:val="-2"/>
              </w:rPr>
              <w:t>Urząd Ochrony Danych Osobowych</w:t>
            </w:r>
            <w:r>
              <w:rPr>
                <w:color w:val="000000"/>
                <w:spacing w:val="-2"/>
              </w:rPr>
              <w:t>;</w:t>
            </w:r>
          </w:p>
          <w:p w14:paraId="6780D1FF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8202A2">
              <w:rPr>
                <w:color w:val="000000"/>
                <w:spacing w:val="-2"/>
              </w:rPr>
              <w:t>2)</w:t>
            </w:r>
            <w:r>
              <w:rPr>
                <w:color w:val="000000"/>
                <w:spacing w:val="-2"/>
              </w:rPr>
              <w:t xml:space="preserve"> </w:t>
            </w:r>
            <w:r w:rsidRPr="008202A2">
              <w:rPr>
                <w:color w:val="000000"/>
                <w:spacing w:val="-2"/>
              </w:rPr>
              <w:t>Urząd Ochrony Konkurencji i Konsumentów</w:t>
            </w:r>
            <w:r>
              <w:rPr>
                <w:color w:val="000000"/>
                <w:spacing w:val="-2"/>
              </w:rPr>
              <w:t>;</w:t>
            </w:r>
          </w:p>
          <w:p w14:paraId="5405069E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8202A2">
              <w:rPr>
                <w:color w:val="000000"/>
                <w:spacing w:val="-2"/>
              </w:rPr>
              <w:t>3)</w:t>
            </w:r>
            <w:r>
              <w:rPr>
                <w:color w:val="000000"/>
                <w:spacing w:val="-2"/>
              </w:rPr>
              <w:t xml:space="preserve"> </w:t>
            </w:r>
            <w:r w:rsidRPr="008202A2">
              <w:rPr>
                <w:color w:val="000000"/>
                <w:spacing w:val="-2"/>
              </w:rPr>
              <w:t>Urząd Zamówień Publicznych</w:t>
            </w:r>
            <w:r>
              <w:rPr>
                <w:color w:val="000000"/>
                <w:spacing w:val="-2"/>
              </w:rPr>
              <w:t>;</w:t>
            </w:r>
          </w:p>
          <w:p w14:paraId="5FDBB336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8202A2">
              <w:rPr>
                <w:color w:val="000000"/>
                <w:spacing w:val="-2"/>
              </w:rPr>
              <w:t>4) Prokuratorię Generalną RP</w:t>
            </w:r>
            <w:r>
              <w:rPr>
                <w:color w:val="000000"/>
                <w:spacing w:val="-2"/>
              </w:rPr>
              <w:t>;</w:t>
            </w:r>
          </w:p>
          <w:p w14:paraId="0A771A54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5)</w:t>
            </w:r>
            <w:r w:rsidRPr="008202A2">
              <w:rPr>
                <w:color w:val="000000"/>
                <w:spacing w:val="-2"/>
              </w:rPr>
              <w:t xml:space="preserve"> Narodowy Bank Polski</w:t>
            </w:r>
            <w:r>
              <w:rPr>
                <w:color w:val="000000"/>
                <w:spacing w:val="-2"/>
              </w:rPr>
              <w:t>;</w:t>
            </w:r>
          </w:p>
          <w:p w14:paraId="1639B7B9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</w:t>
            </w:r>
            <w:r w:rsidRPr="008202A2">
              <w:rPr>
                <w:color w:val="000000"/>
                <w:spacing w:val="-2"/>
              </w:rPr>
              <w:t>) Komisję Nadzoru Finansowego</w:t>
            </w:r>
            <w:r>
              <w:rPr>
                <w:color w:val="000000"/>
                <w:spacing w:val="-2"/>
              </w:rPr>
              <w:t>;</w:t>
            </w:r>
          </w:p>
          <w:p w14:paraId="3F49F851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</w:t>
            </w:r>
            <w:r w:rsidRPr="008202A2">
              <w:rPr>
                <w:color w:val="000000"/>
                <w:spacing w:val="-2"/>
              </w:rPr>
              <w:t>)</w:t>
            </w:r>
            <w:r>
              <w:rPr>
                <w:color w:val="000000"/>
                <w:spacing w:val="-2"/>
              </w:rPr>
              <w:t xml:space="preserve"> </w:t>
            </w:r>
            <w:r w:rsidRPr="008202A2">
              <w:rPr>
                <w:color w:val="000000"/>
                <w:spacing w:val="-2"/>
              </w:rPr>
              <w:t>Rzecznika Finansowego</w:t>
            </w:r>
            <w:r>
              <w:rPr>
                <w:color w:val="000000"/>
                <w:spacing w:val="-2"/>
              </w:rPr>
              <w:t>;</w:t>
            </w:r>
          </w:p>
          <w:p w14:paraId="13C8198A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8) Główny Urząd Statystyczny.</w:t>
            </w:r>
          </w:p>
          <w:p w14:paraId="7E887C00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</w:p>
          <w:p w14:paraId="550A0708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8202A2">
              <w:rPr>
                <w:color w:val="000000"/>
                <w:spacing w:val="-2"/>
              </w:rPr>
              <w:lastRenderedPageBreak/>
              <w:t xml:space="preserve">Projekt ustawy zostanie przekazany do konsultacji </w:t>
            </w:r>
            <w:r>
              <w:rPr>
                <w:color w:val="000000"/>
                <w:spacing w:val="-2"/>
              </w:rPr>
              <w:t>publicznych</w:t>
            </w:r>
            <w:r w:rsidRPr="008202A2">
              <w:rPr>
                <w:color w:val="000000"/>
                <w:spacing w:val="-2"/>
              </w:rPr>
              <w:t xml:space="preserve"> w terminie 21 dni z następującymi podmiotami:</w:t>
            </w:r>
          </w:p>
          <w:p w14:paraId="7CBCA1A2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1)</w:t>
            </w:r>
            <w:r w:rsidRPr="008202A2">
              <w:rPr>
                <w:color w:val="000000"/>
                <w:spacing w:val="-2"/>
              </w:rPr>
              <w:tab/>
              <w:t>Związek Banków Polskich;</w:t>
            </w:r>
          </w:p>
          <w:p w14:paraId="6B91BAFC" w14:textId="77777777" w:rsidR="008C0A5D" w:rsidRPr="00892E14" w:rsidRDefault="008C0A5D" w:rsidP="00125B4B">
            <w:pPr>
              <w:spacing w:line="240" w:lineRule="auto"/>
              <w:rPr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</w:r>
            <w:r w:rsidRPr="00FB7CD1">
              <w:rPr>
                <w:spacing w:val="-2"/>
              </w:rPr>
              <w:t>Centrum Cyfrowe Projekt: Polska;</w:t>
            </w:r>
          </w:p>
          <w:p w14:paraId="50BF4E8E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  <w:t>Fundacja Bezpieczna Cyberprzestrzeń;</w:t>
            </w:r>
          </w:p>
          <w:p w14:paraId="563584E9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  <w:t>Izba Gospodarki Elektronicznej;</w:t>
            </w:r>
          </w:p>
          <w:p w14:paraId="5E38CAFD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  <w:t>Krajowa Izba Gospodarki Cyfrowej;</w:t>
            </w:r>
          </w:p>
          <w:p w14:paraId="43D03EC6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  <w:t>Krajowa Izba Rozliczeniowa S. A.;</w:t>
            </w:r>
          </w:p>
          <w:p w14:paraId="27051D3B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  <w:t>Polska Izba Informatyki i Telekomunikacji;</w:t>
            </w:r>
          </w:p>
          <w:p w14:paraId="0A3F181C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  <w:t>Polska Izba Gospodarcza Zaawansowanych Technologii;</w:t>
            </w:r>
          </w:p>
          <w:p w14:paraId="318C9C13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  <w:t>Polska Izba Komunikacji Elektronicznej;</w:t>
            </w:r>
          </w:p>
          <w:p w14:paraId="7A4C5DB0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  <w:t>Polska Rada Biznesu;</w:t>
            </w:r>
            <w:r w:rsidRPr="008202A2">
              <w:rPr>
                <w:color w:val="000000"/>
                <w:spacing w:val="-2"/>
              </w:rPr>
              <w:tab/>
            </w:r>
          </w:p>
          <w:p w14:paraId="5EB33281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  <w:t>Rada do spraw Cyfryzacji;</w:t>
            </w:r>
          </w:p>
          <w:p w14:paraId="1BA56B96" w14:textId="77777777" w:rsidR="008C0A5D" w:rsidRPr="008202A2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</w:r>
            <w:r>
              <w:rPr>
                <w:color w:val="000000"/>
                <w:spacing w:val="-2"/>
              </w:rPr>
              <w:t xml:space="preserve">Fundacja Polska Bezgotówkowa; </w:t>
            </w:r>
          </w:p>
          <w:p w14:paraId="341D2279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13</w:t>
            </w:r>
            <w:r w:rsidRPr="008202A2">
              <w:rPr>
                <w:color w:val="000000"/>
                <w:spacing w:val="-2"/>
              </w:rPr>
              <w:t>)</w:t>
            </w:r>
            <w:r w:rsidRPr="008202A2">
              <w:rPr>
                <w:color w:val="000000"/>
                <w:spacing w:val="-2"/>
              </w:rPr>
              <w:tab/>
            </w:r>
            <w:r>
              <w:rPr>
                <w:color w:val="000000"/>
                <w:spacing w:val="-2"/>
              </w:rPr>
              <w:t>Bank Gospodarstwa Krajowego;</w:t>
            </w:r>
          </w:p>
          <w:p w14:paraId="5CC052A6" w14:textId="3AC08C73" w:rsidR="008C0A5D" w:rsidRPr="00183BB6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14)</w:t>
            </w:r>
            <w:r w:rsidR="00656A48">
              <w:rPr>
                <w:color w:val="000000"/>
                <w:spacing w:val="-2"/>
              </w:rPr>
              <w:t xml:space="preserve"> </w:t>
            </w:r>
            <w:r w:rsidRPr="00183BB6">
              <w:rPr>
                <w:color w:val="000000"/>
                <w:spacing w:val="-2"/>
              </w:rPr>
              <w:t>Polska Organizacja Niebankowych Instytucji Płatności;</w:t>
            </w:r>
          </w:p>
          <w:p w14:paraId="592F8A36" w14:textId="77777777" w:rsidR="008C0A5D" w:rsidRPr="00183BB6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15</w:t>
            </w:r>
            <w:r w:rsidRPr="00183BB6">
              <w:rPr>
                <w:color w:val="000000"/>
                <w:spacing w:val="-2"/>
              </w:rPr>
              <w:t>)</w:t>
            </w:r>
            <w:r w:rsidRPr="00183BB6">
              <w:rPr>
                <w:color w:val="000000"/>
                <w:spacing w:val="-2"/>
              </w:rPr>
              <w:tab/>
              <w:t>Krajowa Izba Rozliczeniowa;</w:t>
            </w:r>
          </w:p>
          <w:p w14:paraId="0FD626A4" w14:textId="77777777" w:rsidR="008C0A5D" w:rsidRPr="00183BB6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16</w:t>
            </w:r>
            <w:r w:rsidRPr="00183BB6">
              <w:rPr>
                <w:color w:val="000000"/>
                <w:spacing w:val="-2"/>
              </w:rPr>
              <w:t>)</w:t>
            </w:r>
            <w:r w:rsidRPr="00183BB6">
              <w:rPr>
                <w:color w:val="000000"/>
                <w:spacing w:val="-2"/>
              </w:rPr>
              <w:tab/>
              <w:t>Polski Standard Płatności – BLIK;</w:t>
            </w:r>
          </w:p>
          <w:p w14:paraId="25952012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17</w:t>
            </w:r>
            <w:r w:rsidRPr="00183BB6">
              <w:rPr>
                <w:color w:val="000000"/>
                <w:spacing w:val="-2"/>
              </w:rPr>
              <w:t>)</w:t>
            </w:r>
            <w:r w:rsidRPr="00183BB6">
              <w:rPr>
                <w:color w:val="000000"/>
                <w:spacing w:val="-2"/>
              </w:rPr>
              <w:tab/>
              <w:t>Fundacja FinTech Poland.</w:t>
            </w:r>
          </w:p>
          <w:p w14:paraId="64FC18BF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</w:p>
          <w:p w14:paraId="364E38CB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65003D">
              <w:rPr>
                <w:color w:val="000000"/>
                <w:spacing w:val="-2"/>
              </w:rPr>
              <w:t xml:space="preserve">Zgodnie z ustawą z dnia 23 maja 1991 r. o związkach zawodowych </w:t>
            </w:r>
            <w:r w:rsidRPr="00F54897">
              <w:rPr>
                <w:color w:val="000000"/>
                <w:spacing w:val="-2"/>
              </w:rPr>
              <w:t xml:space="preserve">(Dz. U. z 2025 r. poz. 440) </w:t>
            </w:r>
            <w:r w:rsidRPr="0065003D">
              <w:rPr>
                <w:color w:val="000000"/>
                <w:spacing w:val="-2"/>
              </w:rPr>
              <w:t xml:space="preserve">projekt zostanie przekazany </w:t>
            </w:r>
            <w:r>
              <w:rPr>
                <w:color w:val="000000"/>
                <w:spacing w:val="-2"/>
              </w:rPr>
              <w:t xml:space="preserve">w celu umożliwienia przedstawienia opinii </w:t>
            </w:r>
            <w:r w:rsidRPr="0065003D">
              <w:rPr>
                <w:color w:val="000000"/>
                <w:spacing w:val="-2"/>
              </w:rPr>
              <w:t>do następujących organizacji związków zawodowych:</w:t>
            </w:r>
          </w:p>
          <w:p w14:paraId="71E5A2AD" w14:textId="77777777" w:rsidR="008C0A5D" w:rsidRPr="008B1344" w:rsidRDefault="008C0A5D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rPr>
                <w:color w:val="000000"/>
                <w:spacing w:val="-2"/>
              </w:rPr>
            </w:pPr>
            <w:r w:rsidRPr="008B1344">
              <w:rPr>
                <w:color w:val="000000"/>
                <w:spacing w:val="-2"/>
              </w:rPr>
              <w:t>N</w:t>
            </w:r>
            <w:r>
              <w:rPr>
                <w:color w:val="000000"/>
                <w:spacing w:val="-2"/>
              </w:rPr>
              <w:t xml:space="preserve">iezależny </w:t>
            </w:r>
            <w:r w:rsidRPr="008B1344">
              <w:rPr>
                <w:color w:val="000000"/>
                <w:spacing w:val="-2"/>
              </w:rPr>
              <w:t>S</w:t>
            </w:r>
            <w:r>
              <w:rPr>
                <w:color w:val="000000"/>
                <w:spacing w:val="-2"/>
              </w:rPr>
              <w:t xml:space="preserve">amorządny </w:t>
            </w:r>
            <w:r w:rsidRPr="008B1344">
              <w:rPr>
                <w:color w:val="000000"/>
                <w:spacing w:val="-2"/>
              </w:rPr>
              <w:t>Z</w:t>
            </w:r>
            <w:r>
              <w:rPr>
                <w:color w:val="000000"/>
                <w:spacing w:val="-2"/>
              </w:rPr>
              <w:t xml:space="preserve">wiązek </w:t>
            </w:r>
            <w:r w:rsidRPr="008B1344">
              <w:rPr>
                <w:color w:val="000000"/>
                <w:spacing w:val="-2"/>
              </w:rPr>
              <w:t>Z</w:t>
            </w:r>
            <w:r>
              <w:rPr>
                <w:color w:val="000000"/>
                <w:spacing w:val="-2"/>
              </w:rPr>
              <w:t>awodowy</w:t>
            </w:r>
            <w:r w:rsidRPr="008B1344">
              <w:rPr>
                <w:color w:val="000000"/>
                <w:spacing w:val="-2"/>
              </w:rPr>
              <w:t xml:space="preserve"> „Solidarność”;</w:t>
            </w:r>
          </w:p>
          <w:p w14:paraId="119ECC5F" w14:textId="77777777" w:rsidR="008C0A5D" w:rsidRPr="008B1344" w:rsidRDefault="008C0A5D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rPr>
                <w:color w:val="000000"/>
                <w:spacing w:val="-2"/>
              </w:rPr>
            </w:pPr>
            <w:r w:rsidRPr="008B1344">
              <w:rPr>
                <w:color w:val="000000"/>
                <w:spacing w:val="-2"/>
              </w:rPr>
              <w:t>Ogólnopolskiego Porozumienie Związków Zawodowych</w:t>
            </w:r>
            <w:r>
              <w:rPr>
                <w:color w:val="000000"/>
                <w:spacing w:val="-2"/>
              </w:rPr>
              <w:t xml:space="preserve"> (OPZZ)</w:t>
            </w:r>
            <w:r w:rsidRPr="008B1344">
              <w:rPr>
                <w:color w:val="000000"/>
                <w:spacing w:val="-2"/>
              </w:rPr>
              <w:t>;</w:t>
            </w:r>
          </w:p>
          <w:p w14:paraId="1413265D" w14:textId="77777777" w:rsidR="008C0A5D" w:rsidRDefault="008C0A5D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rPr>
                <w:color w:val="000000"/>
                <w:spacing w:val="-2"/>
              </w:rPr>
            </w:pPr>
            <w:r w:rsidRPr="008B1344">
              <w:rPr>
                <w:color w:val="000000"/>
                <w:spacing w:val="-2"/>
              </w:rPr>
              <w:t>Forum Związków Zawodowych</w:t>
            </w:r>
            <w:r>
              <w:rPr>
                <w:color w:val="000000"/>
                <w:spacing w:val="-2"/>
              </w:rPr>
              <w:t xml:space="preserve"> (FZZ)</w:t>
            </w:r>
            <w:r w:rsidRPr="008B1344">
              <w:rPr>
                <w:color w:val="000000"/>
                <w:spacing w:val="-2"/>
              </w:rPr>
              <w:t>.</w:t>
            </w:r>
          </w:p>
          <w:p w14:paraId="4BBA5B6A" w14:textId="77777777" w:rsidR="00D75075" w:rsidRPr="008B1344" w:rsidRDefault="00D75075" w:rsidP="00135589">
            <w:pPr>
              <w:pStyle w:val="Akapitzlist"/>
              <w:widowControl/>
              <w:autoSpaceDE/>
              <w:autoSpaceDN/>
              <w:adjustRightInd/>
              <w:spacing w:line="240" w:lineRule="auto"/>
              <w:rPr>
                <w:color w:val="000000"/>
                <w:spacing w:val="-2"/>
              </w:rPr>
            </w:pPr>
          </w:p>
          <w:p w14:paraId="3DB38D0F" w14:textId="77777777" w:rsidR="008C0A5D" w:rsidRPr="008B1344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8B1344">
              <w:rPr>
                <w:color w:val="000000"/>
                <w:spacing w:val="-2"/>
              </w:rPr>
              <w:t xml:space="preserve">Zgodnie z ustawą z dnia 23 maja 1991 r. o organizacjach pracodawców </w:t>
            </w:r>
            <w:r w:rsidRPr="00F54897">
              <w:rPr>
                <w:color w:val="000000"/>
                <w:spacing w:val="-2"/>
              </w:rPr>
              <w:t xml:space="preserve">(Dz. U. z 2025 r. poz. 423) </w:t>
            </w:r>
            <w:r w:rsidRPr="008B1344">
              <w:rPr>
                <w:color w:val="000000"/>
                <w:spacing w:val="-2"/>
              </w:rPr>
              <w:t xml:space="preserve">projekt zostanie przekazany </w:t>
            </w:r>
            <w:r w:rsidRPr="00C727E8">
              <w:rPr>
                <w:color w:val="000000"/>
                <w:spacing w:val="-2"/>
              </w:rPr>
              <w:t xml:space="preserve">w celu umożliwienia przedstawienia opinii </w:t>
            </w:r>
            <w:r w:rsidRPr="008B1344">
              <w:rPr>
                <w:color w:val="000000"/>
                <w:spacing w:val="-2"/>
              </w:rPr>
              <w:t>do następujących reprezentatywnych organizacji pracodawców:</w:t>
            </w:r>
          </w:p>
          <w:p w14:paraId="2C375909" w14:textId="77777777" w:rsidR="008C0A5D" w:rsidRPr="0043432A" w:rsidRDefault="008C0A5D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40" w:lineRule="auto"/>
              <w:rPr>
                <w:color w:val="000000"/>
                <w:spacing w:val="-2"/>
              </w:rPr>
            </w:pPr>
            <w:r w:rsidRPr="0043432A">
              <w:rPr>
                <w:color w:val="000000"/>
                <w:spacing w:val="-2"/>
              </w:rPr>
              <w:t>Konfederacji „Lewiatan”;</w:t>
            </w:r>
          </w:p>
          <w:p w14:paraId="625F66EA" w14:textId="77777777" w:rsidR="008C0A5D" w:rsidRPr="0043432A" w:rsidRDefault="008C0A5D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40" w:lineRule="auto"/>
              <w:rPr>
                <w:color w:val="000000"/>
                <w:spacing w:val="-2"/>
              </w:rPr>
            </w:pPr>
            <w:r w:rsidRPr="0043432A">
              <w:rPr>
                <w:color w:val="000000"/>
                <w:spacing w:val="-2"/>
              </w:rPr>
              <w:t>Związku Rzemiosła Polskiego;</w:t>
            </w:r>
          </w:p>
          <w:p w14:paraId="00FC0524" w14:textId="77777777" w:rsidR="008C0A5D" w:rsidRPr="0043432A" w:rsidRDefault="008C0A5D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40" w:lineRule="auto"/>
              <w:rPr>
                <w:color w:val="000000"/>
                <w:spacing w:val="-2"/>
              </w:rPr>
            </w:pPr>
            <w:r w:rsidRPr="0043432A">
              <w:rPr>
                <w:color w:val="000000"/>
                <w:spacing w:val="-2"/>
              </w:rPr>
              <w:t>Pracodawców Rzeczypospolitej Polskiej;</w:t>
            </w:r>
          </w:p>
          <w:p w14:paraId="5F5DD94B" w14:textId="77777777" w:rsidR="008C0A5D" w:rsidRPr="0043432A" w:rsidRDefault="008C0A5D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40" w:lineRule="auto"/>
              <w:rPr>
                <w:color w:val="000000"/>
                <w:spacing w:val="-2"/>
              </w:rPr>
            </w:pPr>
            <w:r w:rsidRPr="0043432A">
              <w:rPr>
                <w:color w:val="000000"/>
                <w:spacing w:val="-2"/>
              </w:rPr>
              <w:t>Związek Pracodawców Business Centre Club (BCC-ZP);</w:t>
            </w:r>
          </w:p>
          <w:p w14:paraId="2E65FA53" w14:textId="77777777" w:rsidR="008C0A5D" w:rsidRPr="0043432A" w:rsidRDefault="008C0A5D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40" w:lineRule="auto"/>
              <w:rPr>
                <w:color w:val="000000"/>
                <w:spacing w:val="-2"/>
              </w:rPr>
            </w:pPr>
            <w:r w:rsidRPr="0043432A">
              <w:rPr>
                <w:color w:val="000000"/>
                <w:spacing w:val="-2"/>
              </w:rPr>
              <w:t>Związku Przedsiębiorców i Pracodawców (ZPP);</w:t>
            </w:r>
          </w:p>
          <w:p w14:paraId="19410C8F" w14:textId="77777777" w:rsidR="008C0A5D" w:rsidRPr="0043432A" w:rsidRDefault="008C0A5D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40" w:lineRule="auto"/>
              <w:rPr>
                <w:color w:val="000000"/>
                <w:spacing w:val="-2"/>
              </w:rPr>
            </w:pPr>
            <w:r w:rsidRPr="0043432A">
              <w:rPr>
                <w:color w:val="000000"/>
                <w:spacing w:val="-2"/>
              </w:rPr>
              <w:t>Federacji Przedsiębiorców Polskich;</w:t>
            </w:r>
          </w:p>
          <w:p w14:paraId="6F8B8B95" w14:textId="77777777" w:rsidR="008C0A5D" w:rsidRPr="0043432A" w:rsidRDefault="008C0A5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40" w:lineRule="auto"/>
              <w:rPr>
                <w:color w:val="000000"/>
                <w:spacing w:val="-2"/>
              </w:rPr>
            </w:pPr>
            <w:r w:rsidRPr="0043432A">
              <w:rPr>
                <w:color w:val="000000"/>
                <w:spacing w:val="-2"/>
              </w:rPr>
              <w:t>Polskiego Towarzystwa Gospodarczego.</w:t>
            </w:r>
          </w:p>
          <w:p w14:paraId="5776D7D3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</w:p>
          <w:p w14:paraId="0542ADDF" w14:textId="77777777" w:rsidR="008C0A5D" w:rsidRPr="00FE1A39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8202A2">
              <w:rPr>
                <w:color w:val="000000"/>
                <w:spacing w:val="-2"/>
              </w:rPr>
              <w:t xml:space="preserve">Projekt zostanie skierowany </w:t>
            </w:r>
            <w:r>
              <w:rPr>
                <w:color w:val="000000"/>
                <w:spacing w:val="-2"/>
              </w:rPr>
              <w:t xml:space="preserve">również </w:t>
            </w:r>
            <w:r w:rsidRPr="008202A2">
              <w:rPr>
                <w:color w:val="000000"/>
                <w:spacing w:val="-2"/>
              </w:rPr>
              <w:t>do rozpatrzenia przez Komisję Wspólną Rządu i Samorządu Terytorialnego</w:t>
            </w:r>
            <w:r>
              <w:rPr>
                <w:color w:val="000000"/>
                <w:spacing w:val="-2"/>
              </w:rPr>
              <w:t xml:space="preserve">, </w:t>
            </w:r>
            <w:r w:rsidRPr="005C3C63">
              <w:rPr>
                <w:color w:val="000000"/>
                <w:spacing w:val="-2"/>
              </w:rPr>
              <w:t>Radę Dialogu Społecznego i Radę Pożytku Publicznego</w:t>
            </w:r>
            <w:r>
              <w:rPr>
                <w:color w:val="000000"/>
                <w:spacing w:val="-2"/>
              </w:rPr>
              <w:t>.</w:t>
            </w:r>
          </w:p>
        </w:tc>
      </w:tr>
      <w:tr w:rsidR="008C0A5D" w:rsidRPr="00FE1A39" w14:paraId="757CD46F" w14:textId="77777777" w:rsidTr="00484D74">
        <w:trPr>
          <w:gridAfter w:val="1"/>
          <w:wAfter w:w="7" w:type="dxa"/>
          <w:trHeight w:val="363"/>
        </w:trPr>
        <w:tc>
          <w:tcPr>
            <w:tcW w:w="10796" w:type="dxa"/>
            <w:gridSpan w:val="20"/>
            <w:shd w:val="clear" w:color="auto" w:fill="99CCFF"/>
            <w:vAlign w:val="center"/>
          </w:tcPr>
          <w:p w14:paraId="3FD1FA51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8C0A5D" w:rsidRPr="00FE1A39" w14:paraId="0C2AE5CB" w14:textId="77777777" w:rsidTr="00484D74">
        <w:trPr>
          <w:trHeight w:val="142"/>
        </w:trPr>
        <w:tc>
          <w:tcPr>
            <w:tcW w:w="1731" w:type="dxa"/>
            <w:gridSpan w:val="2"/>
            <w:vMerge w:val="restart"/>
            <w:shd w:val="clear" w:color="auto" w:fill="FFFFFF" w:themeFill="background1"/>
          </w:tcPr>
          <w:p w14:paraId="50EE8C73" w14:textId="77777777" w:rsidR="008C0A5D" w:rsidRPr="00FE1A39" w:rsidRDefault="008C0A5D" w:rsidP="00125B4B">
            <w:pPr>
              <w:spacing w:before="40" w:after="40"/>
              <w:rPr>
                <w:i/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(ceny stałe z 202</w:t>
            </w:r>
            <w:r>
              <w:rPr>
                <w:color w:val="000000"/>
                <w:sz w:val="21"/>
                <w:szCs w:val="21"/>
              </w:rPr>
              <w:t>4</w:t>
            </w:r>
            <w:r w:rsidRPr="00FE1A39">
              <w:rPr>
                <w:color w:val="000000"/>
                <w:sz w:val="21"/>
                <w:szCs w:val="21"/>
              </w:rPr>
              <w:t xml:space="preserve"> r.)</w:t>
            </w:r>
          </w:p>
        </w:tc>
        <w:tc>
          <w:tcPr>
            <w:tcW w:w="9072" w:type="dxa"/>
            <w:gridSpan w:val="19"/>
            <w:shd w:val="clear" w:color="auto" w:fill="FFFFFF" w:themeFill="background1"/>
          </w:tcPr>
          <w:p w14:paraId="6A8F07CB" w14:textId="77777777" w:rsidR="008C0A5D" w:rsidRPr="00FE1A39" w:rsidRDefault="008C0A5D" w:rsidP="00125B4B">
            <w:pPr>
              <w:spacing w:before="40" w:after="40" w:line="240" w:lineRule="auto"/>
              <w:jc w:val="center"/>
              <w:rPr>
                <w:i/>
                <w:color w:val="000000"/>
                <w:spacing w:val="-2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8C0A5D" w:rsidRPr="00FE1A39" w14:paraId="63FEB7AE" w14:textId="77777777" w:rsidTr="00484D74">
        <w:trPr>
          <w:trHeight w:val="142"/>
        </w:trPr>
        <w:tc>
          <w:tcPr>
            <w:tcW w:w="1731" w:type="dxa"/>
            <w:gridSpan w:val="2"/>
            <w:vMerge/>
          </w:tcPr>
          <w:p w14:paraId="64BE5790" w14:textId="77777777" w:rsidR="008C0A5D" w:rsidRPr="00FE1A39" w:rsidRDefault="008C0A5D" w:rsidP="00125B4B">
            <w:pPr>
              <w:spacing w:before="40" w:after="40" w:line="240" w:lineRule="auto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5321FB4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EF727EA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AC308AA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77300E43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639" w:type="dxa"/>
            <w:shd w:val="clear" w:color="auto" w:fill="FFFFFF" w:themeFill="background1"/>
          </w:tcPr>
          <w:p w14:paraId="09A01C80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5E720D3A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87242C9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3278F542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565AF74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908E41D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14:paraId="3523E063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3C64041E" w14:textId="77777777" w:rsidR="008C0A5D" w:rsidRPr="00FE1A39" w:rsidRDefault="008C0A5D" w:rsidP="00125B4B">
            <w:pPr>
              <w:spacing w:before="40" w:after="40" w:line="240" w:lineRule="auto"/>
              <w:jc w:val="center"/>
              <w:rPr>
                <w:i/>
                <w:color w:val="000000"/>
                <w:spacing w:val="-2"/>
                <w:sz w:val="21"/>
                <w:szCs w:val="21"/>
              </w:rPr>
            </w:pPr>
            <w:r w:rsidRPr="00FE1A39">
              <w:rPr>
                <w:i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8C0A5D" w:rsidRPr="00FE1A39" w14:paraId="6690E0BD" w14:textId="77777777" w:rsidTr="00484D74">
        <w:trPr>
          <w:trHeight w:val="321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3DD984AC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7" w:type="dxa"/>
            <w:shd w:val="clear" w:color="auto" w:fill="FFFFFF" w:themeFill="background1"/>
          </w:tcPr>
          <w:p w14:paraId="5CC39AFE" w14:textId="77777777" w:rsidR="008C0A5D" w:rsidRPr="002D57FE" w:rsidRDefault="008C0A5D" w:rsidP="00125B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D57F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71DDA50" w14:textId="77777777" w:rsidR="008C0A5D" w:rsidRPr="002D57FE" w:rsidRDefault="008C0A5D" w:rsidP="00125B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D57FE">
              <w:rPr>
                <w:b/>
                <w:bCs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F4D1950" w14:textId="77777777" w:rsidR="008C0A5D" w:rsidRPr="002D57FE" w:rsidRDefault="008C0A5D" w:rsidP="00125B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D57FE">
              <w:rPr>
                <w:b/>
                <w:bCs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3BD0DB45" w14:textId="77777777" w:rsidR="008C0A5D" w:rsidRPr="002D57FE" w:rsidRDefault="008C0A5D" w:rsidP="00125B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D57FE">
              <w:rPr>
                <w:b/>
                <w:bCs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639" w:type="dxa"/>
            <w:shd w:val="clear" w:color="auto" w:fill="FFFFFF" w:themeFill="background1"/>
          </w:tcPr>
          <w:p w14:paraId="5678AB4D" w14:textId="77777777" w:rsidR="008C0A5D" w:rsidRPr="002D57FE" w:rsidRDefault="008C0A5D" w:rsidP="00125B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D57F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6E507C84" w14:textId="77777777" w:rsidR="008C0A5D" w:rsidRPr="002D57FE" w:rsidRDefault="008C0A5D" w:rsidP="00125B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E42E8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0C5C21A" w14:textId="77777777" w:rsidR="008C0A5D" w:rsidRPr="002D57FE" w:rsidRDefault="008C0A5D" w:rsidP="00125B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E42E8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14:paraId="5DB41385" w14:textId="77777777" w:rsidR="008C0A5D" w:rsidRPr="002D57FE" w:rsidRDefault="008C0A5D" w:rsidP="00125B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E42E8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05DB85F" w14:textId="77777777" w:rsidR="008C0A5D" w:rsidRPr="002D57FE" w:rsidRDefault="008C0A5D" w:rsidP="00125B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E42E8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676F34D" w14:textId="77777777" w:rsidR="008C0A5D" w:rsidRPr="002D57FE" w:rsidRDefault="008C0A5D" w:rsidP="00125B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E42E8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14:paraId="1C607BD6" w14:textId="77777777" w:rsidR="008C0A5D" w:rsidRPr="002D57FE" w:rsidRDefault="008C0A5D" w:rsidP="00125B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E42E8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3C7B7052" w14:textId="77777777" w:rsidR="008C0A5D" w:rsidRPr="00937340" w:rsidRDefault="008C0A5D" w:rsidP="00125B4B">
            <w:pPr>
              <w:spacing w:line="240" w:lineRule="auto"/>
              <w:rPr>
                <w:b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30,00</w:t>
            </w:r>
          </w:p>
        </w:tc>
      </w:tr>
      <w:tr w:rsidR="008C0A5D" w:rsidRPr="00FE1A39" w14:paraId="2DE40315" w14:textId="77777777" w:rsidTr="00484D74">
        <w:trPr>
          <w:trHeight w:val="321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5F0AA287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7" w:type="dxa"/>
            <w:shd w:val="clear" w:color="auto" w:fill="FFFFFF" w:themeFill="background1"/>
          </w:tcPr>
          <w:p w14:paraId="3609F627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734F93B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4A15B8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632FD9A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3DBEDE00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5E576E28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B29CB4C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69097C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19DC2F2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C4CA324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31B8534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41D1EFA9" w14:textId="77777777" w:rsidR="008C0A5D" w:rsidRPr="00FE1A39" w:rsidRDefault="008C0A5D" w:rsidP="00125B4B">
            <w:pPr>
              <w:spacing w:line="240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</w:tr>
      <w:tr w:rsidR="008C0A5D" w:rsidRPr="00FE1A39" w14:paraId="575F9DEC" w14:textId="77777777" w:rsidTr="00484D74">
        <w:trPr>
          <w:trHeight w:val="344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1F570A8F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7" w:type="dxa"/>
            <w:shd w:val="clear" w:color="auto" w:fill="FFFFFF" w:themeFill="background1"/>
          </w:tcPr>
          <w:p w14:paraId="693CBFD4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5A98047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4F09BB5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6D922AF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639" w:type="dxa"/>
            <w:shd w:val="clear" w:color="auto" w:fill="FFFFFF" w:themeFill="background1"/>
          </w:tcPr>
          <w:p w14:paraId="1B8853F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580A617B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14A8659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14:paraId="4310D5E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7EBDDE1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EABF973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14:paraId="168D7C3C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4CE3B9E6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30,00</w:t>
            </w:r>
          </w:p>
        </w:tc>
      </w:tr>
      <w:tr w:rsidR="008C0A5D" w:rsidRPr="00FE1A39" w14:paraId="03B9B935" w14:textId="77777777" w:rsidTr="00484D74">
        <w:trPr>
          <w:trHeight w:val="344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0A3A39C2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7" w:type="dxa"/>
            <w:shd w:val="clear" w:color="auto" w:fill="FFFFFF" w:themeFill="background1"/>
          </w:tcPr>
          <w:p w14:paraId="76C684D7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8E3233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CBD42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32975CE0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73D2BC89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7697D8B0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A60E122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A99F4F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35157E4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2A59686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8C8492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0AC6B27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C0A5D" w:rsidRPr="00FE1A39" w14:paraId="2A88FADB" w14:textId="77777777" w:rsidTr="00484D74">
        <w:trPr>
          <w:trHeight w:val="344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0702D34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27077BB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FADFD19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D3A2D0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6219F3C8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18AA20EA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51BD8201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E3147C3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9AF727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B0881FD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06F9343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3714EB3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6CE50F4D" w14:textId="77777777" w:rsidR="008C0A5D" w:rsidRPr="0093734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C0A5D" w:rsidRPr="00FE1A39" w14:paraId="12B87C9C" w14:textId="77777777" w:rsidTr="00484D74">
        <w:trPr>
          <w:trHeight w:val="330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640C5D07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59BB98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7E9F32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AE0700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9,61</w:t>
            </w:r>
          </w:p>
        </w:tc>
        <w:tc>
          <w:tcPr>
            <w:tcW w:w="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4F4991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13,29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C60CDB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E7E47B" w14:textId="77777777" w:rsidR="008C0A5D" w:rsidRPr="00937340" w:rsidRDefault="008C0A5D" w:rsidP="00125B4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3,30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3521FE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4,97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65E8E9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5,99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A5121B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7,17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B45904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C7EC09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10,08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B6D93B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74,22</w:t>
            </w:r>
          </w:p>
        </w:tc>
      </w:tr>
      <w:tr w:rsidR="008C0A5D" w:rsidRPr="00FE1A39" w14:paraId="0F9B2097" w14:textId="77777777" w:rsidTr="00484D74">
        <w:trPr>
          <w:trHeight w:val="360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4A912DC9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64BF1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C20D0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sz w:val="16"/>
                <w:szCs w:val="16"/>
              </w:rPr>
              <w:t>9,1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3913F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sz w:val="16"/>
                <w:szCs w:val="16"/>
              </w:rPr>
              <w:t>9,61</w:t>
            </w:r>
          </w:p>
        </w:tc>
        <w:tc>
          <w:tcPr>
            <w:tcW w:w="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7F4E1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sz w:val="16"/>
                <w:szCs w:val="16"/>
              </w:rPr>
              <w:t>13,29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A3127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sz w:val="16"/>
                <w:szCs w:val="16"/>
              </w:rPr>
              <w:t>2,09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CA811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color w:val="000000" w:themeColor="text1"/>
                <w:sz w:val="18"/>
                <w:szCs w:val="18"/>
              </w:rPr>
              <w:t>3,30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87A9A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sz w:val="16"/>
                <w:szCs w:val="16"/>
              </w:rPr>
              <w:t>4,97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4B66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sz w:val="16"/>
                <w:szCs w:val="16"/>
              </w:rPr>
              <w:t>5,99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D5FA6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sz w:val="16"/>
                <w:szCs w:val="16"/>
              </w:rPr>
              <w:t>7,17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23BE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sz w:val="16"/>
                <w:szCs w:val="16"/>
              </w:rPr>
              <w:t>8,5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711F5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sz w:val="16"/>
                <w:szCs w:val="16"/>
              </w:rPr>
              <w:t>10,08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28A6FE" w14:textId="77777777" w:rsidR="008C0A5D" w:rsidRPr="00342E31" w:rsidRDefault="008C0A5D" w:rsidP="00125B4B">
            <w:pPr>
              <w:rPr>
                <w:sz w:val="16"/>
                <w:szCs w:val="16"/>
              </w:rPr>
            </w:pPr>
            <w:r w:rsidRPr="00342E31">
              <w:rPr>
                <w:sz w:val="16"/>
                <w:szCs w:val="16"/>
              </w:rPr>
              <w:t>74,2</w:t>
            </w:r>
            <w:r>
              <w:rPr>
                <w:sz w:val="16"/>
                <w:szCs w:val="16"/>
              </w:rPr>
              <w:t>2</w:t>
            </w:r>
          </w:p>
        </w:tc>
      </w:tr>
      <w:tr w:rsidR="008C0A5D" w:rsidRPr="00FE1A39" w14:paraId="2A0451F9" w14:textId="77777777" w:rsidTr="00484D74">
        <w:trPr>
          <w:trHeight w:val="351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4D3DEAD1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662E7A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11D8AE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B28DAA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F16F5F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4A8DB1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2A94A6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955382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B18CB2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6F8D23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8656F4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C27CF3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40337F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</w:tr>
      <w:tr w:rsidR="008C0A5D" w:rsidRPr="00FE1A39" w14:paraId="489D850F" w14:textId="77777777" w:rsidTr="00484D74">
        <w:trPr>
          <w:trHeight w:val="351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02C99833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E08EBC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D06A3C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886983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449C76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33147D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A5CD0A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B7B301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5AF3F2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4D68CD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BA4ACC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D47B81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92E665" w14:textId="77777777" w:rsidR="008C0A5D" w:rsidRPr="00FE1A39" w:rsidRDefault="008C0A5D" w:rsidP="00125B4B">
            <w:pPr>
              <w:rPr>
                <w:sz w:val="16"/>
                <w:szCs w:val="16"/>
              </w:rPr>
            </w:pPr>
          </w:p>
        </w:tc>
      </w:tr>
      <w:tr w:rsidR="008C0A5D" w:rsidRPr="00FE1A39" w14:paraId="0B13E7CA" w14:textId="77777777" w:rsidTr="00484D74">
        <w:trPr>
          <w:trHeight w:val="360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5E067E84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3087A3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D05174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-0,18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D1B5CB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-0,61</w:t>
            </w:r>
          </w:p>
        </w:tc>
        <w:tc>
          <w:tcPr>
            <w:tcW w:w="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3800E4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-1,29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8703FF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-2,09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B106F4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-3,30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64BD1F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-4,97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B8191E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-5,99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A858FC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-7,17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6A8128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-8,52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E9AB8F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-10,08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674020" w14:textId="77777777" w:rsidR="008C0A5D" w:rsidRPr="00937340" w:rsidRDefault="008C0A5D" w:rsidP="00125B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-44,22</w:t>
            </w:r>
          </w:p>
        </w:tc>
      </w:tr>
      <w:tr w:rsidR="008C0A5D" w:rsidRPr="00FE1A39" w14:paraId="660D1627" w14:textId="77777777" w:rsidTr="00484D74">
        <w:trPr>
          <w:trHeight w:val="360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15AFF3E5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2C64EC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42E80">
              <w:rPr>
                <w:sz w:val="16"/>
                <w:szCs w:val="16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286536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42E80">
              <w:rPr>
                <w:sz w:val="16"/>
                <w:szCs w:val="16"/>
              </w:rPr>
              <w:t>9,18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BF9A4B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42E80">
              <w:rPr>
                <w:sz w:val="16"/>
                <w:szCs w:val="16"/>
              </w:rPr>
              <w:t>9,61</w:t>
            </w:r>
          </w:p>
        </w:tc>
        <w:tc>
          <w:tcPr>
            <w:tcW w:w="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8EE246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42E80">
              <w:rPr>
                <w:sz w:val="16"/>
                <w:szCs w:val="16"/>
              </w:rPr>
              <w:t>13,29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8B65A7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42E80">
              <w:rPr>
                <w:sz w:val="16"/>
                <w:szCs w:val="16"/>
              </w:rPr>
              <w:t>2,09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C7A9C9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42E80">
              <w:rPr>
                <w:sz w:val="16"/>
                <w:szCs w:val="16"/>
              </w:rPr>
              <w:t>3,30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C94FFF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42E80">
              <w:rPr>
                <w:sz w:val="16"/>
                <w:szCs w:val="16"/>
              </w:rPr>
              <w:t>4,97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0ECA85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42E80">
              <w:rPr>
                <w:sz w:val="16"/>
                <w:szCs w:val="16"/>
              </w:rPr>
              <w:t>5,99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7C24D6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42E80">
              <w:rPr>
                <w:sz w:val="16"/>
                <w:szCs w:val="16"/>
              </w:rPr>
              <w:t>7,17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9DFB64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42E80">
              <w:rPr>
                <w:sz w:val="16"/>
                <w:szCs w:val="16"/>
              </w:rPr>
              <w:t>8,52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C1D00A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42E80">
              <w:rPr>
                <w:sz w:val="16"/>
                <w:szCs w:val="16"/>
              </w:rPr>
              <w:t>10,08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570FFC" w14:textId="77777777" w:rsidR="008C0A5D" w:rsidRPr="00FE1A39" w:rsidRDefault="008C0A5D" w:rsidP="00125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-74,22</w:t>
            </w:r>
          </w:p>
        </w:tc>
      </w:tr>
      <w:tr w:rsidR="008C0A5D" w:rsidRPr="00FE1A39" w14:paraId="096F26E4" w14:textId="77777777" w:rsidTr="00484D74">
        <w:trPr>
          <w:trHeight w:val="357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1F17CDA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7" w:type="dxa"/>
            <w:shd w:val="clear" w:color="auto" w:fill="FFFFFF" w:themeFill="background1"/>
          </w:tcPr>
          <w:p w14:paraId="6F3A5B2F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14:paraId="2CC90526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6D74C03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7C8BD452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639" w:type="dxa"/>
            <w:shd w:val="clear" w:color="auto" w:fill="FFFFFF" w:themeFill="background1"/>
          </w:tcPr>
          <w:p w14:paraId="1B5D47B3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649465E2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C15705C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14:paraId="4D844A6B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727D245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DBA9461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14:paraId="79DB3BFB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6A98F801" w14:textId="77777777" w:rsidR="008C0A5D" w:rsidRPr="00E42E80" w:rsidRDefault="008C0A5D" w:rsidP="00125B4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42E80">
              <w:rPr>
                <w:color w:val="000000"/>
                <w:sz w:val="16"/>
                <w:szCs w:val="16"/>
              </w:rPr>
              <w:t>30,00</w:t>
            </w:r>
          </w:p>
        </w:tc>
      </w:tr>
      <w:tr w:rsidR="008C0A5D" w:rsidRPr="00FE1A39" w14:paraId="25380C21" w14:textId="77777777" w:rsidTr="00484D74">
        <w:trPr>
          <w:trHeight w:val="357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0833BB38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7" w:type="dxa"/>
            <w:shd w:val="clear" w:color="auto" w:fill="FFFFFF" w:themeFill="background1"/>
          </w:tcPr>
          <w:p w14:paraId="43A20446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98ABC5C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68E17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shd w:val="clear" w:color="auto" w:fill="FFFFFF" w:themeFill="background1"/>
          </w:tcPr>
          <w:p w14:paraId="449EC6CF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1A3DC39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4E859A99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688CD80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40933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D5DB985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FA2F0D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FF4E6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35700336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</w:tr>
      <w:tr w:rsidR="008C0A5D" w:rsidRPr="00FE1A39" w14:paraId="6CEB27F8" w14:textId="77777777" w:rsidTr="00484D74">
        <w:trPr>
          <w:trHeight w:val="357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72361BD6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9072" w:type="dxa"/>
            <w:gridSpan w:val="19"/>
            <w:shd w:val="clear" w:color="auto" w:fill="FFFFFF" w:themeFill="background1"/>
          </w:tcPr>
          <w:p w14:paraId="20D6D662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Budżet Państwa</w:t>
            </w:r>
          </w:p>
        </w:tc>
      </w:tr>
      <w:tr w:rsidR="008C0A5D" w:rsidRPr="00FE1A39" w14:paraId="02955B79" w14:textId="77777777" w:rsidTr="00484D74">
        <w:trPr>
          <w:trHeight w:val="1926"/>
        </w:trPr>
        <w:tc>
          <w:tcPr>
            <w:tcW w:w="1731" w:type="dxa"/>
            <w:gridSpan w:val="2"/>
            <w:shd w:val="clear" w:color="auto" w:fill="FFFFFF" w:themeFill="background1"/>
          </w:tcPr>
          <w:p w14:paraId="1469420B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9072" w:type="dxa"/>
            <w:gridSpan w:val="19"/>
            <w:shd w:val="clear" w:color="auto" w:fill="FFFFFF" w:themeFill="background1"/>
          </w:tcPr>
          <w:p w14:paraId="251757AB" w14:textId="77777777" w:rsidR="008C0A5D" w:rsidRDefault="008C0A5D" w:rsidP="00125B4B">
            <w:pPr>
              <w:suppressAutoHyphens/>
              <w:spacing w:before="120" w:after="120" w:line="240" w:lineRule="auto"/>
              <w:rPr>
                <w:color w:val="000000" w:themeColor="text1"/>
              </w:rPr>
            </w:pPr>
            <w:r w:rsidRPr="00E42E80">
              <w:rPr>
                <w:color w:val="000000" w:themeColor="text1"/>
              </w:rPr>
              <w:t>Wydatki wynikające z wejścia w życie ustawy będą sfinansowane ze środków budżetu państwa poprzez zwiększenie limitu wydatków części 27 – Informatyzacja w ustawie budżetowej na rok 2026 i lata następne.</w:t>
            </w:r>
          </w:p>
          <w:p w14:paraId="0B8B1364" w14:textId="77777777" w:rsidR="008C0A5D" w:rsidRDefault="008C0A5D" w:rsidP="00125B4B">
            <w:pPr>
              <w:suppressAutoHyphens/>
              <w:spacing w:before="120" w:after="12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Pr="00C70FC8">
              <w:rPr>
                <w:color w:val="000000"/>
              </w:rPr>
              <w:t xml:space="preserve"> 2025 r. wydatki będą możliwe do poniesienia w ramach dotychczas posiadanych środków budżetowych w części 27 – Informatyzacja</w:t>
            </w:r>
            <w:r>
              <w:rPr>
                <w:color w:val="000000"/>
              </w:rPr>
              <w:t>.</w:t>
            </w:r>
          </w:p>
          <w:p w14:paraId="717395C1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W zakresie dochodów JST, są to dochody gmin o liczbie do 10 tyś mieszkańców, w zakresie uzyskanych dotacji na integrację z ePłatnościami. </w:t>
            </w:r>
          </w:p>
          <w:p w14:paraId="7A44F051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</w:p>
          <w:p w14:paraId="41C44026" w14:textId="77777777" w:rsidR="008C0A5D" w:rsidRPr="00C70FC8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C70FC8">
              <w:rPr>
                <w:rFonts w:eastAsia="Times New Roman"/>
                <w:color w:val="000000" w:themeColor="text1"/>
              </w:rPr>
              <w:t>W zakresie kosztów ponoszonych prze JST inn</w:t>
            </w:r>
            <w:r>
              <w:rPr>
                <w:rFonts w:eastAsia="Times New Roman"/>
                <w:color w:val="000000" w:themeColor="text1"/>
              </w:rPr>
              <w:t>ych</w:t>
            </w:r>
            <w:r w:rsidRPr="00C70FC8">
              <w:rPr>
                <w:rFonts w:eastAsia="Times New Roman"/>
                <w:color w:val="000000" w:themeColor="text1"/>
              </w:rPr>
              <w:t xml:space="preserve"> niż te, którym będzie możliwe udzielenie dotacji (a więc o liczbie mieszkańców do 10 ty</w:t>
            </w:r>
            <w:r>
              <w:rPr>
                <w:rFonts w:eastAsia="Times New Roman"/>
                <w:color w:val="000000" w:themeColor="text1"/>
              </w:rPr>
              <w:t>s.</w:t>
            </w:r>
            <w:r w:rsidRPr="00C70FC8">
              <w:rPr>
                <w:rFonts w:eastAsia="Times New Roman"/>
                <w:color w:val="000000" w:themeColor="text1"/>
              </w:rPr>
              <w:t xml:space="preserve">), należy zauważyć, że integracja z usługą ePłatności wymaga zmian po stronie systemu każdej JST (bez względu na jego wielkość) w celu wystawienia odpowiednich danych o zobowiązaniu. Systemy są dostarczane przez zewnętrznych dostawców, którzy wykonują zmiany. Koszt zmian zależy od indywidulanych warunków umowy pomiędzy dostawcą a urzędem. </w:t>
            </w:r>
          </w:p>
          <w:p w14:paraId="20DDBADD" w14:textId="77777777" w:rsidR="008C0A5D" w:rsidRPr="00C70FC8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C70FC8">
              <w:rPr>
                <w:rFonts w:eastAsia="Times New Roman"/>
                <w:color w:val="000000" w:themeColor="text1"/>
              </w:rPr>
              <w:t xml:space="preserve">Natomiast duże JST dysponują większym budżetem i często koszt zmian systemu dziedzinowego w celu integracji z ePłatnościami nie stanowi tak dużej części w skali pozostałych wydatków w porównaniu z małymi gminami. </w:t>
            </w:r>
          </w:p>
          <w:p w14:paraId="75566794" w14:textId="77777777" w:rsidR="008C0A5D" w:rsidRPr="00EC45E0" w:rsidDel="0061628A" w:rsidRDefault="008C0A5D" w:rsidP="00125B4B">
            <w:pPr>
              <w:suppressAutoHyphens/>
              <w:spacing w:before="120" w:after="120" w:line="240" w:lineRule="auto"/>
              <w:jc w:val="both"/>
              <w:rPr>
                <w:color w:val="000000"/>
              </w:rPr>
            </w:pPr>
            <w:r w:rsidRPr="00C70FC8">
              <w:rPr>
                <w:rFonts w:eastAsia="Times New Roman"/>
                <w:color w:val="000000" w:themeColor="text1"/>
              </w:rPr>
              <w:t>Usługa ePłatności nie jest obowiązkiem, a jedynie możliwością udostepnienia płatności bezgotówkowy</w:t>
            </w:r>
            <w:r>
              <w:rPr>
                <w:rFonts w:eastAsia="Times New Roman"/>
                <w:color w:val="000000" w:themeColor="text1"/>
              </w:rPr>
              <w:t>ch</w:t>
            </w:r>
            <w:r w:rsidRPr="00C70FC8">
              <w:rPr>
                <w:rFonts w:eastAsia="Times New Roman"/>
                <w:color w:val="000000" w:themeColor="text1"/>
              </w:rPr>
              <w:t xml:space="preserve"> dla mieszkańców. Alternatywnie JST mają możliwość skorzystania z odpłatnych rozwiązań komercyjnych</w:t>
            </w:r>
            <w:r>
              <w:rPr>
                <w:rFonts w:eastAsia="Times New Roman"/>
                <w:color w:val="000000" w:themeColor="text1"/>
              </w:rPr>
              <w:t>,</w:t>
            </w:r>
            <w:r w:rsidRPr="00C70FC8">
              <w:rPr>
                <w:rFonts w:eastAsia="Times New Roman"/>
                <w:color w:val="000000" w:themeColor="text1"/>
              </w:rPr>
              <w:t xml:space="preserve"> które poza kosztem integracji systemu urzędu wymagają dodatkowych nakładów z tytułu realizacji usługi. W przypadku JST</w:t>
            </w:r>
            <w:r>
              <w:rPr>
                <w:rFonts w:eastAsia="Times New Roman"/>
                <w:color w:val="000000" w:themeColor="text1"/>
              </w:rPr>
              <w:t>,</w:t>
            </w:r>
            <w:r w:rsidRPr="00C70FC8">
              <w:rPr>
                <w:rFonts w:eastAsia="Times New Roman"/>
                <w:color w:val="000000" w:themeColor="text1"/>
              </w:rPr>
              <w:t xml:space="preserve"> które korzystają już z komercyjnych rozwiązań, środki przeznaczone na ten cel będą mogły zostać poniesione na dostosowanie systemów JST do integracji z systemem ePłatności.</w:t>
            </w:r>
          </w:p>
          <w:p w14:paraId="0ED09AEB" w14:textId="77777777" w:rsidR="008C0A5D" w:rsidRPr="00B740C8" w:rsidRDefault="008C0A5D" w:rsidP="00125B4B">
            <w:pPr>
              <w:spacing w:before="120" w:after="120" w:line="240" w:lineRule="auto"/>
              <w:rPr>
                <w:rFonts w:eastAsia="Times New Roman"/>
                <w:color w:val="000000" w:themeColor="text1"/>
              </w:rPr>
            </w:pPr>
            <w:r w:rsidRPr="2CE0CD04">
              <w:rPr>
                <w:color w:val="000000" w:themeColor="text1"/>
              </w:rPr>
              <w:t>Do</w:t>
            </w:r>
            <w:r w:rsidRPr="00B740C8">
              <w:rPr>
                <w:rFonts w:eastAsia="Times New Roman"/>
                <w:color w:val="000000" w:themeColor="text1"/>
              </w:rPr>
              <w:t xml:space="preserve"> wyliczenia kwoty wynagrodzenia BGK przyjęto następujące założenia:</w:t>
            </w:r>
          </w:p>
          <w:p w14:paraId="73D3F07A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Obliczenia oparte są o wolumeny transakcji na rzecz urzędów zintegrowanych obecnie z usługą ePłatności – tj. 71 jednostek na dzień 30.06.2025 r.</w:t>
            </w:r>
          </w:p>
          <w:p w14:paraId="24BD609F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030879C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Podmioty zostały podzielone na gminy bardzo małe, małe, średnie oraz duże.</w:t>
            </w:r>
          </w:p>
          <w:p w14:paraId="30CF28F7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663558A" w14:textId="77777777" w:rsidR="008C0A5D" w:rsidRPr="00B740C8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Liczba podmiotów obecnie uczestniczących w pilotażu (30.06.2025 r.)</w:t>
            </w:r>
            <w:r w:rsidRPr="00B740C8">
              <w:rPr>
                <w:rFonts w:eastAsia="Times New Roman"/>
                <w:b/>
                <w:bCs/>
                <w:color w:val="000000" w:themeColor="text1"/>
              </w:rPr>
              <w:t>:</w:t>
            </w:r>
          </w:p>
          <w:p w14:paraId="7BD53F62" w14:textId="77777777" w:rsidR="008C0A5D" w:rsidRPr="00B740C8" w:rsidRDefault="008C0A5D" w:rsidP="00125B4B">
            <w:pPr>
              <w:spacing w:line="240" w:lineRule="auto"/>
              <w:rPr>
                <w:rFonts w:eastAsia="Times New Roman"/>
                <w:color w:val="1F497D" w:themeColor="text2"/>
              </w:rPr>
            </w:pPr>
          </w:p>
          <w:tbl>
            <w:tblPr>
              <w:tblStyle w:val="Tabela-Siatka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2552"/>
              <w:gridCol w:w="2126"/>
            </w:tblGrid>
            <w:tr w:rsidR="008C0A5D" w14:paraId="19FEB115" w14:textId="77777777" w:rsidTr="00125B4B">
              <w:trPr>
                <w:trHeight w:val="896"/>
              </w:trPr>
              <w:tc>
                <w:tcPr>
                  <w:tcW w:w="1586" w:type="dxa"/>
                  <w:tcMar>
                    <w:left w:w="105" w:type="dxa"/>
                    <w:right w:w="105" w:type="dxa"/>
                  </w:tcMar>
                </w:tcPr>
                <w:p w14:paraId="3EED91E8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rFonts w:eastAsia="Times New Roman"/>
                      <w:color w:val="000000" w:themeColor="text1"/>
                      <w:sz w:val="20"/>
                    </w:rPr>
                    <w:t>Wielkość gminy (liczba mieszkańców)</w:t>
                  </w:r>
                </w:p>
              </w:tc>
              <w:tc>
                <w:tcPr>
                  <w:tcW w:w="2552" w:type="dxa"/>
                  <w:tcMar>
                    <w:left w:w="105" w:type="dxa"/>
                    <w:right w:w="105" w:type="dxa"/>
                  </w:tcMar>
                </w:tcPr>
                <w:p w14:paraId="3B033C23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rFonts w:eastAsia="Times New Roman"/>
                      <w:color w:val="000000" w:themeColor="text1"/>
                      <w:sz w:val="20"/>
                    </w:rPr>
                    <w:t>Liczba gmin w całej Polsce</w:t>
                  </w:r>
                </w:p>
              </w:tc>
              <w:tc>
                <w:tcPr>
                  <w:tcW w:w="2126" w:type="dxa"/>
                  <w:tcMar>
                    <w:left w:w="105" w:type="dxa"/>
                    <w:right w:w="105" w:type="dxa"/>
                  </w:tcMar>
                </w:tcPr>
                <w:p w14:paraId="0626CFCD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rFonts w:eastAsia="Times New Roman"/>
                      <w:color w:val="000000" w:themeColor="text1"/>
                      <w:sz w:val="20"/>
                    </w:rPr>
                    <w:t>Liczba urzędów korzystających z usługi ePłatności</w:t>
                  </w:r>
                </w:p>
              </w:tc>
            </w:tr>
            <w:tr w:rsidR="008C0A5D" w14:paraId="2F136F62" w14:textId="77777777" w:rsidTr="00125B4B">
              <w:trPr>
                <w:trHeight w:val="300"/>
              </w:trPr>
              <w:tc>
                <w:tcPr>
                  <w:tcW w:w="1586" w:type="dxa"/>
                  <w:tcMar>
                    <w:left w:w="105" w:type="dxa"/>
                    <w:right w:w="105" w:type="dxa"/>
                  </w:tcMar>
                </w:tcPr>
                <w:p w14:paraId="5ADC42A7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rFonts w:eastAsia="Times New Roman"/>
                      <w:color w:val="000000" w:themeColor="text1"/>
                      <w:sz w:val="20"/>
                    </w:rPr>
                    <w:t xml:space="preserve">Bardzo mała  </w:t>
                  </w:r>
                </w:p>
              </w:tc>
              <w:tc>
                <w:tcPr>
                  <w:tcW w:w="2552" w:type="dxa"/>
                  <w:tcMar>
                    <w:left w:w="105" w:type="dxa"/>
                    <w:right w:w="105" w:type="dxa"/>
                  </w:tcMar>
                  <w:vAlign w:val="bottom"/>
                </w:tcPr>
                <w:p w14:paraId="4EF5DA35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sz w:val="20"/>
                    </w:rPr>
                    <w:t>744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5" w:type="dxa"/>
                    <w:right w:w="105" w:type="dxa"/>
                  </w:tcMar>
                  <w:vAlign w:val="bottom"/>
                </w:tcPr>
                <w:p w14:paraId="48C0FF6A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sz w:val="20"/>
                    </w:rPr>
                    <w:t>1</w:t>
                  </w:r>
                </w:p>
              </w:tc>
            </w:tr>
            <w:tr w:rsidR="008C0A5D" w14:paraId="5495FE52" w14:textId="77777777" w:rsidTr="00125B4B">
              <w:trPr>
                <w:trHeight w:val="300"/>
              </w:trPr>
              <w:tc>
                <w:tcPr>
                  <w:tcW w:w="1586" w:type="dxa"/>
                  <w:tcMar>
                    <w:left w:w="105" w:type="dxa"/>
                    <w:right w:w="105" w:type="dxa"/>
                  </w:tcMar>
                </w:tcPr>
                <w:p w14:paraId="17A4CF55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rFonts w:eastAsia="Times New Roman"/>
                      <w:color w:val="000000" w:themeColor="text1"/>
                      <w:sz w:val="20"/>
                    </w:rPr>
                    <w:t xml:space="preserve">Mała  </w:t>
                  </w:r>
                </w:p>
              </w:tc>
              <w:tc>
                <w:tcPr>
                  <w:tcW w:w="2552" w:type="dxa"/>
                  <w:tcMar>
                    <w:left w:w="105" w:type="dxa"/>
                    <w:right w:w="105" w:type="dxa"/>
                  </w:tcMar>
                  <w:vAlign w:val="bottom"/>
                </w:tcPr>
                <w:p w14:paraId="28B2A35B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sz w:val="20"/>
                    </w:rPr>
                    <w:t>992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5" w:type="dxa"/>
                    <w:right w:w="105" w:type="dxa"/>
                  </w:tcMar>
                  <w:vAlign w:val="bottom"/>
                </w:tcPr>
                <w:p w14:paraId="6831ABBA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sz w:val="20"/>
                    </w:rPr>
                    <w:t>8</w:t>
                  </w:r>
                </w:p>
              </w:tc>
            </w:tr>
            <w:tr w:rsidR="008C0A5D" w14:paraId="2C45EC22" w14:textId="77777777" w:rsidTr="00125B4B">
              <w:trPr>
                <w:trHeight w:val="300"/>
              </w:trPr>
              <w:tc>
                <w:tcPr>
                  <w:tcW w:w="1586" w:type="dxa"/>
                  <w:tcMar>
                    <w:left w:w="105" w:type="dxa"/>
                    <w:right w:w="105" w:type="dxa"/>
                  </w:tcMar>
                </w:tcPr>
                <w:p w14:paraId="194A8461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rFonts w:eastAsia="Times New Roman"/>
                      <w:color w:val="000000" w:themeColor="text1"/>
                      <w:sz w:val="20"/>
                    </w:rPr>
                    <w:t>Średnia</w:t>
                  </w:r>
                </w:p>
              </w:tc>
              <w:tc>
                <w:tcPr>
                  <w:tcW w:w="2552" w:type="dxa"/>
                  <w:tcMar>
                    <w:left w:w="105" w:type="dxa"/>
                    <w:right w:w="105" w:type="dxa"/>
                  </w:tcMar>
                  <w:vAlign w:val="bottom"/>
                </w:tcPr>
                <w:p w14:paraId="5AC548FD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sz w:val="20"/>
                    </w:rPr>
                    <w:t>495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5" w:type="dxa"/>
                    <w:right w:w="105" w:type="dxa"/>
                  </w:tcMar>
                  <w:vAlign w:val="bottom"/>
                </w:tcPr>
                <w:p w14:paraId="5D8E0440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sz w:val="20"/>
                    </w:rPr>
                    <w:t>10</w:t>
                  </w:r>
                </w:p>
              </w:tc>
            </w:tr>
            <w:tr w:rsidR="008C0A5D" w14:paraId="29FFAC2A" w14:textId="77777777" w:rsidTr="00125B4B">
              <w:trPr>
                <w:trHeight w:val="50"/>
              </w:trPr>
              <w:tc>
                <w:tcPr>
                  <w:tcW w:w="1586" w:type="dxa"/>
                  <w:tcMar>
                    <w:left w:w="105" w:type="dxa"/>
                    <w:right w:w="105" w:type="dxa"/>
                  </w:tcMar>
                </w:tcPr>
                <w:p w14:paraId="1180A8E0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rFonts w:eastAsia="Times New Roman"/>
                      <w:color w:val="000000" w:themeColor="text1"/>
                      <w:sz w:val="20"/>
                    </w:rPr>
                    <w:t>Duża</w:t>
                  </w:r>
                </w:p>
              </w:tc>
              <w:tc>
                <w:tcPr>
                  <w:tcW w:w="2552" w:type="dxa"/>
                  <w:tcMar>
                    <w:left w:w="105" w:type="dxa"/>
                    <w:right w:w="105" w:type="dxa"/>
                  </w:tcMar>
                  <w:vAlign w:val="bottom"/>
                </w:tcPr>
                <w:p w14:paraId="0FDB48A8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sz w:val="20"/>
                    </w:rPr>
                    <w:t>248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5" w:type="dxa"/>
                    <w:right w:w="105" w:type="dxa"/>
                  </w:tcMar>
                  <w:vAlign w:val="bottom"/>
                </w:tcPr>
                <w:p w14:paraId="6A7F201B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sz w:val="20"/>
                    </w:rPr>
                    <w:t>52</w:t>
                  </w:r>
                </w:p>
              </w:tc>
            </w:tr>
            <w:tr w:rsidR="008C0A5D" w14:paraId="1F66A0E3" w14:textId="77777777" w:rsidTr="00125B4B">
              <w:trPr>
                <w:trHeight w:val="50"/>
              </w:trPr>
              <w:tc>
                <w:tcPr>
                  <w:tcW w:w="1586" w:type="dxa"/>
                  <w:tcMar>
                    <w:left w:w="105" w:type="dxa"/>
                    <w:right w:w="105" w:type="dxa"/>
                  </w:tcMar>
                </w:tcPr>
                <w:p w14:paraId="507C8081" w14:textId="77777777" w:rsidR="008C0A5D" w:rsidRPr="0041199A" w:rsidRDefault="008C0A5D" w:rsidP="00125B4B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1199A">
                    <w:rPr>
                      <w:rFonts w:eastAsia="Times New Roman"/>
                      <w:color w:val="000000" w:themeColor="text1"/>
                      <w:sz w:val="20"/>
                    </w:rPr>
                    <w:t>SUMA</w:t>
                  </w:r>
                </w:p>
              </w:tc>
              <w:tc>
                <w:tcPr>
                  <w:tcW w:w="2552" w:type="dxa"/>
                  <w:tcMar>
                    <w:left w:w="105" w:type="dxa"/>
                    <w:right w:w="105" w:type="dxa"/>
                  </w:tcMar>
                  <w:vAlign w:val="bottom"/>
                </w:tcPr>
                <w:p w14:paraId="535AA603" w14:textId="77777777" w:rsidR="008C0A5D" w:rsidRPr="0041199A" w:rsidRDefault="008C0A5D" w:rsidP="00125B4B">
                  <w:pPr>
                    <w:rPr>
                      <w:sz w:val="20"/>
                    </w:rPr>
                  </w:pPr>
                  <w:r w:rsidRPr="0041199A">
                    <w:rPr>
                      <w:sz w:val="20"/>
                    </w:rPr>
                    <w:t>2479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5" w:type="dxa"/>
                    <w:right w:w="105" w:type="dxa"/>
                  </w:tcMar>
                  <w:vAlign w:val="bottom"/>
                </w:tcPr>
                <w:p w14:paraId="579F9010" w14:textId="77777777" w:rsidR="008C0A5D" w:rsidRPr="0041199A" w:rsidRDefault="008C0A5D" w:rsidP="00125B4B">
                  <w:pPr>
                    <w:rPr>
                      <w:sz w:val="20"/>
                    </w:rPr>
                  </w:pPr>
                  <w:r w:rsidRPr="0041199A">
                    <w:rPr>
                      <w:sz w:val="20"/>
                    </w:rPr>
                    <w:t>71</w:t>
                  </w:r>
                </w:p>
              </w:tc>
            </w:tr>
          </w:tbl>
          <w:p w14:paraId="3F36ED98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</w:p>
          <w:p w14:paraId="3945C4D9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CEDF06E">
              <w:rPr>
                <w:rFonts w:eastAsia="Times New Roman"/>
                <w:color w:val="000000" w:themeColor="text1"/>
              </w:rPr>
              <w:t>W ramach pilotażu jednostki przystępowały do programu od 2023 r. Obecnie jest 71 jednostek</w:t>
            </w:r>
            <w:r>
              <w:rPr>
                <w:rFonts w:eastAsia="Times New Roman"/>
                <w:color w:val="000000" w:themeColor="text1"/>
              </w:rPr>
              <w:t>,</w:t>
            </w:r>
            <w:r w:rsidRPr="0CEDF06E">
              <w:rPr>
                <w:rFonts w:eastAsia="Times New Roman"/>
                <w:color w:val="000000" w:themeColor="text1"/>
              </w:rPr>
              <w:t xml:space="preserve"> które udostępniają od 1</w:t>
            </w:r>
            <w:r>
              <w:rPr>
                <w:rFonts w:eastAsia="Times New Roman"/>
                <w:color w:val="000000" w:themeColor="text1"/>
              </w:rPr>
              <w:t xml:space="preserve"> do </w:t>
            </w:r>
            <w:r w:rsidRPr="0CEDF06E">
              <w:rPr>
                <w:rFonts w:eastAsia="Times New Roman"/>
                <w:color w:val="000000" w:themeColor="text1"/>
              </w:rPr>
              <w:t>5 rodzajów zobowiązań. W ePłatnościach urzędy mogą udostępnić ok</w:t>
            </w:r>
            <w:r>
              <w:rPr>
                <w:rFonts w:eastAsia="Times New Roman"/>
                <w:color w:val="000000" w:themeColor="text1"/>
              </w:rPr>
              <w:t>.</w:t>
            </w:r>
            <w:r w:rsidRPr="0CEDF06E">
              <w:rPr>
                <w:rFonts w:eastAsia="Times New Roman"/>
                <w:color w:val="000000" w:themeColor="text1"/>
              </w:rPr>
              <w:t xml:space="preserve"> 15 rodzajów zobowiązań</w:t>
            </w:r>
            <w:r>
              <w:rPr>
                <w:rFonts w:eastAsia="Times New Roman"/>
                <w:color w:val="000000" w:themeColor="text1"/>
              </w:rPr>
              <w:t>.</w:t>
            </w:r>
          </w:p>
          <w:p w14:paraId="449D9080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</w:p>
          <w:p w14:paraId="6BBD45E8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Od kwietnia 2025 r., poza regulacją zobowiązań, usługa daje możliwość realizacji opłat z inicjatywy obywateli, co w przyszłości zwiększy wolumen transakcji.</w:t>
            </w:r>
          </w:p>
          <w:p w14:paraId="572FB317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Na wzrost liczby transakcji wpłynie rozpowszechnienie usługi w ramach podłączonych jednostek, wprowadzenie nowych funkcjonalności przez urząd, jak również nowe podmioty w ramach gmin. Poniższy model wskazuje prognozę liczby realizowanych transakcji.</w:t>
            </w:r>
          </w:p>
          <w:p w14:paraId="5BF66314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</w:p>
          <w:p w14:paraId="1643DB6C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Wraz z rozwojem usługi będzie wzrastała liczba jednostek JST, w szczególności w latach 2026-2027, kiedy będzie możliwe uzyskanie dofinansowania na integrację z ePłatnościami.</w:t>
            </w:r>
          </w:p>
          <w:p w14:paraId="444579F4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tbl>
            <w:tblPr>
              <w:tblW w:w="6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685"/>
              <w:gridCol w:w="1306"/>
              <w:gridCol w:w="713"/>
              <w:gridCol w:w="1034"/>
              <w:gridCol w:w="694"/>
              <w:gridCol w:w="1053"/>
            </w:tblGrid>
            <w:tr w:rsidR="008C0A5D" w:rsidRPr="000433B8" w14:paraId="182B1A76" w14:textId="77777777" w:rsidTr="00125B4B">
              <w:trPr>
                <w:trHeight w:val="340"/>
              </w:trPr>
              <w:tc>
                <w:tcPr>
                  <w:tcW w:w="1920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645690" w14:textId="77777777" w:rsidR="008C0A5D" w:rsidRPr="00094A57" w:rsidRDefault="008C0A5D" w:rsidP="00125B4B">
                  <w:pPr>
                    <w:spacing w:line="240" w:lineRule="auto"/>
                    <w:jc w:val="center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 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C59B2BE" w14:textId="77777777" w:rsidR="008C0A5D" w:rsidRPr="00094A57" w:rsidRDefault="008C0A5D" w:rsidP="00125B4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Liczba podmiotów zintegrowanych z usługą</w:t>
                  </w:r>
                </w:p>
              </w:tc>
            </w:tr>
            <w:tr w:rsidR="008C0A5D" w:rsidRPr="000433B8" w14:paraId="34586F78" w14:textId="77777777" w:rsidTr="00125B4B">
              <w:trPr>
                <w:trHeight w:val="510"/>
              </w:trPr>
              <w:tc>
                <w:tcPr>
                  <w:tcW w:w="1920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A2E906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D261F3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bardzo małe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0467CB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małe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0E9949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średnie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1B4463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duże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A1B4CA6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SUMA</w:t>
                  </w:r>
                </w:p>
              </w:tc>
            </w:tr>
            <w:tr w:rsidR="008C0A5D" w:rsidRPr="000433B8" w14:paraId="6C5F4B73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B92F67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plan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E5C4FF8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2025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74B6DB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97E09F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20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9137B6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19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131603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67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0404335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119</w:t>
                  </w:r>
                </w:p>
              </w:tc>
            </w:tr>
            <w:tr w:rsidR="008C0A5D" w:rsidRPr="000433B8" w14:paraId="6B7242DE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DE7D14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8713D4F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2026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49DFC3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163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19EA12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170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359126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67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0E4C21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85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A8B4211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485</w:t>
                  </w:r>
                </w:p>
              </w:tc>
            </w:tr>
            <w:tr w:rsidR="008C0A5D" w:rsidRPr="000433B8" w14:paraId="554C17BD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7C1D6F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981FC9F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2027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C53CAD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313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B57551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320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626E4F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116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2E83EC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103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587C98D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852</w:t>
                  </w:r>
                </w:p>
              </w:tc>
            </w:tr>
            <w:tr w:rsidR="008C0A5D" w:rsidRPr="000433B8" w14:paraId="3B1FF69A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378E9E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5671EE2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2028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18BBFD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513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F0A45E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520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DE5A41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166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393A9D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121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C8A926C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1320</w:t>
                  </w:r>
                </w:p>
              </w:tc>
            </w:tr>
            <w:tr w:rsidR="008C0A5D" w:rsidRPr="000433B8" w14:paraId="72079011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442B8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C05F57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2029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1665EC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546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50D5FE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590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2E4125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214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861A68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140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2AFEC43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1490</w:t>
                  </w:r>
                </w:p>
              </w:tc>
            </w:tr>
            <w:tr w:rsidR="008C0A5D" w:rsidRPr="000433B8" w14:paraId="5E57632D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2ED231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A425893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4CD0C6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579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F21FD0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657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BB26FC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261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D362C6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158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080F583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1655</w:t>
                  </w:r>
                </w:p>
              </w:tc>
            </w:tr>
            <w:tr w:rsidR="008C0A5D" w:rsidRPr="000433B8" w14:paraId="160053BD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84A537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0C31016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4D056A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612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D5A327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724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E0DB5F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308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4C9AF0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176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BE0B159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1820</w:t>
                  </w:r>
                </w:p>
              </w:tc>
            </w:tr>
            <w:tr w:rsidR="008C0A5D" w:rsidRPr="000433B8" w14:paraId="5A1D4517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93A2D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25992E3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2032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64CD54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645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25F891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791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BDB67A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355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0E646C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194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A2F780D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1985</w:t>
                  </w:r>
                </w:p>
              </w:tc>
            </w:tr>
            <w:tr w:rsidR="008C0A5D" w:rsidRPr="000433B8" w14:paraId="31946AC2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0704D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61117DC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2033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CD1D40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678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E80147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858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86099E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402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2B9995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212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2AFE943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21</w:t>
                  </w:r>
                  <w:r>
                    <w:rPr>
                      <w:rFonts w:eastAsia="Times New Roman"/>
                      <w:b/>
                      <w:bCs/>
                      <w:sz w:val="20"/>
                    </w:rPr>
                    <w:t>49</w:t>
                  </w:r>
                </w:p>
              </w:tc>
            </w:tr>
            <w:tr w:rsidR="008C0A5D" w:rsidRPr="000433B8" w14:paraId="29BFD7DB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D06FE5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8615F62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2034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951F79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711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E53BE0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925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6CED3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449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A9554F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230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E3A9DAC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2315</w:t>
                  </w:r>
                </w:p>
              </w:tc>
            </w:tr>
            <w:tr w:rsidR="008C0A5D" w:rsidRPr="000433B8" w14:paraId="6E19325F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C8B683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120EA426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2035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BBF023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744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F8609C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992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EF7BF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495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932146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248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5703E76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2479</w:t>
                  </w:r>
                </w:p>
              </w:tc>
            </w:tr>
          </w:tbl>
          <w:p w14:paraId="57AE49F1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54577DE3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B85576A" w14:textId="77777777" w:rsidR="008C0A5D" w:rsidRPr="00B740C8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Planowana l</w:t>
            </w:r>
            <w:r w:rsidRPr="00B740C8">
              <w:rPr>
                <w:rFonts w:eastAsia="Times New Roman"/>
                <w:b/>
                <w:bCs/>
                <w:color w:val="000000" w:themeColor="text1"/>
              </w:rPr>
              <w:t>iczba realizowanych transakcji (w skali roku)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na podstawie wolumenu transakcji jednostek obecnie uczestniczących w pilotażu (30.06.2025 r.)</w:t>
            </w:r>
            <w:r w:rsidRPr="00B740C8">
              <w:rPr>
                <w:rFonts w:eastAsia="Times New Roman"/>
                <w:b/>
                <w:bCs/>
                <w:color w:val="000000" w:themeColor="text1"/>
              </w:rPr>
              <w:t>:</w:t>
            </w:r>
          </w:p>
          <w:p w14:paraId="05775135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tbl>
            <w:tblPr>
              <w:tblW w:w="64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685"/>
              <w:gridCol w:w="2504"/>
              <w:gridCol w:w="1985"/>
            </w:tblGrid>
            <w:tr w:rsidR="008C0A5D" w:rsidRPr="00563AB8" w14:paraId="6B027119" w14:textId="77777777" w:rsidTr="00125B4B">
              <w:trPr>
                <w:trHeight w:val="260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D730D9C" w14:textId="77777777" w:rsidR="008C0A5D" w:rsidRPr="00094A57" w:rsidRDefault="008C0A5D" w:rsidP="00125B4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DDEBB8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Liczba transakcji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8C7B6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Suma narastająco</w:t>
                  </w:r>
                </w:p>
              </w:tc>
            </w:tr>
            <w:tr w:rsidR="008C0A5D" w:rsidRPr="00563AB8" w14:paraId="4D6C5427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B9C012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lastRenderedPageBreak/>
                    <w:t>plan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A5346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2025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296B04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     343 388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FB2FF9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     343 388 </w:t>
                  </w:r>
                </w:p>
              </w:tc>
            </w:tr>
            <w:tr w:rsidR="008C0A5D" w:rsidRPr="00563AB8" w14:paraId="31F4811C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52DD7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1C6A7F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2026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2E585D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  1 546 275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00B38A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  1 889 663 </w:t>
                  </w:r>
                </w:p>
              </w:tc>
            </w:tr>
            <w:tr w:rsidR="008C0A5D" w:rsidRPr="00563AB8" w14:paraId="4A1DB3B4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9F00F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B1D9A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2027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BB98F5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  3 924 278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E793CB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  5 813 941 </w:t>
                  </w:r>
                </w:p>
              </w:tc>
            </w:tr>
            <w:tr w:rsidR="008C0A5D" w:rsidRPr="00563AB8" w14:paraId="6BE0D954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83E757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4EE47A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2028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9FD723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  8 989 270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D4A1B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14 803 211 </w:t>
                  </w:r>
                </w:p>
              </w:tc>
            </w:tr>
            <w:tr w:rsidR="008C0A5D" w:rsidRPr="00563AB8" w14:paraId="7019872C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FE5E88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7D5A5A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2029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000B75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16 922 908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C45C67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31 726 119 </w:t>
                  </w:r>
                </w:p>
              </w:tc>
            </w:tr>
            <w:tr w:rsidR="008C0A5D" w:rsidRPr="00563AB8" w14:paraId="10C88F98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63A630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EB3502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2030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5D890F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29 033 815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FDDB0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60 759 934 </w:t>
                  </w:r>
                </w:p>
              </w:tc>
            </w:tr>
            <w:tr w:rsidR="008C0A5D" w:rsidRPr="00563AB8" w14:paraId="57665EE8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3967FF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57A12B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2031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CEA816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45 756 240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136068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106 516 174 </w:t>
                  </w:r>
                </w:p>
              </w:tc>
            </w:tr>
            <w:tr w:rsidR="008C0A5D" w:rsidRPr="00563AB8" w14:paraId="181BC01F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53BE0E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AED568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2032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3DEB12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55 951 942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6FE7C9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162 468 116 </w:t>
                  </w:r>
                </w:p>
              </w:tc>
            </w:tr>
            <w:tr w:rsidR="008C0A5D" w:rsidRPr="00563AB8" w14:paraId="7F80CD4D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A61E47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E492C3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2033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DF1E2E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67 729 466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958E4C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230 197 582 </w:t>
                  </w:r>
                </w:p>
              </w:tc>
            </w:tr>
            <w:tr w:rsidR="008C0A5D" w:rsidRPr="00563AB8" w14:paraId="3D50BC24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50FF0F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558E22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2034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3A8439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81 302 959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EF3853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311 500 541 </w:t>
                  </w:r>
                </w:p>
              </w:tc>
            </w:tr>
            <w:tr w:rsidR="008C0A5D" w:rsidRPr="00563AB8" w14:paraId="2405AB81" w14:textId="77777777" w:rsidTr="00125B4B">
              <w:trPr>
                <w:trHeight w:val="380"/>
              </w:trPr>
              <w:tc>
                <w:tcPr>
                  <w:tcW w:w="12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4E91CF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3C9F26" w14:textId="77777777" w:rsidR="008C0A5D" w:rsidRPr="00094A57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>2035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B22C53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094A57">
                    <w:rPr>
                      <w:rFonts w:eastAsia="Times New Roman"/>
                      <w:sz w:val="20"/>
                    </w:rPr>
                    <w:t xml:space="preserve">               96 866 963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5B5CD8" w14:textId="77777777" w:rsidR="008C0A5D" w:rsidRPr="00094A57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094A57">
                    <w:rPr>
                      <w:rFonts w:eastAsia="Times New Roman"/>
                      <w:b/>
                      <w:bCs/>
                      <w:sz w:val="20"/>
                    </w:rPr>
                    <w:t xml:space="preserve">             408 367 504 </w:t>
                  </w:r>
                </w:p>
              </w:tc>
            </w:tr>
          </w:tbl>
          <w:p w14:paraId="08912FF6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44E99768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Głównym celem usługi ePłatności jest wspieranie procesów bezgotówkowych, w szczególności w JST.  Podmioty publiczne inne niż JST w pewnym zakresie dotychczas zaimplementowały możliwość płatności bezgotówkowych. Planowane jest również umożliwienie integracji w ramach e-usług podmiotów publicznych innych niż JST jako komplementarne rozwiązanie dla innych kanałów możliwości realizacji płatności na rzecz tych podmiotów.</w:t>
            </w:r>
          </w:p>
          <w:p w14:paraId="50623C9C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CEDF06E">
              <w:rPr>
                <w:rFonts w:eastAsia="Times New Roman"/>
                <w:color w:val="000000" w:themeColor="text1"/>
              </w:rPr>
              <w:t xml:space="preserve">W związku z tym, na podstawie obecnego zainteresowania </w:t>
            </w:r>
            <w:r>
              <w:rPr>
                <w:rFonts w:eastAsia="Times New Roman"/>
                <w:color w:val="000000" w:themeColor="text1"/>
              </w:rPr>
              <w:t xml:space="preserve">- </w:t>
            </w:r>
            <w:r w:rsidRPr="0CEDF06E">
              <w:rPr>
                <w:rFonts w:eastAsia="Times New Roman"/>
                <w:color w:val="000000" w:themeColor="text1"/>
              </w:rPr>
              <w:t>ZUS (po umożliwieniu obsługi jednoosobowych działalności gospodarczych</w:t>
            </w:r>
            <w:r>
              <w:rPr>
                <w:rFonts w:eastAsia="Times New Roman"/>
                <w:color w:val="000000" w:themeColor="text1"/>
              </w:rPr>
              <w:t>)</w:t>
            </w:r>
            <w:r w:rsidRPr="0CEDF06E">
              <w:rPr>
                <w:rFonts w:eastAsia="Times New Roman"/>
                <w:color w:val="000000" w:themeColor="text1"/>
              </w:rPr>
              <w:t>, MS (usługa KRS), GITD</w:t>
            </w:r>
            <w:r>
              <w:rPr>
                <w:rFonts w:eastAsia="Times New Roman"/>
                <w:color w:val="000000" w:themeColor="text1"/>
              </w:rPr>
              <w:t xml:space="preserve"> -</w:t>
            </w:r>
            <w:r w:rsidRPr="0CEDF06E">
              <w:rPr>
                <w:rFonts w:eastAsia="Times New Roman"/>
                <w:color w:val="000000" w:themeColor="text1"/>
              </w:rPr>
              <w:t xml:space="preserve"> prognozuje się wzrost transakcji w zakresie obsługiwanych płatności na rzecz podmiotów </w:t>
            </w:r>
            <w:r>
              <w:rPr>
                <w:rFonts w:eastAsia="Times New Roman"/>
                <w:color w:val="000000" w:themeColor="text1"/>
              </w:rPr>
              <w:t>publicznych innych niż JST</w:t>
            </w:r>
            <w:r w:rsidRPr="0CEDF06E">
              <w:rPr>
                <w:rFonts w:eastAsia="Times New Roman"/>
                <w:color w:val="000000" w:themeColor="text1"/>
              </w:rPr>
              <w:t xml:space="preserve"> w poniższym modelu</w:t>
            </w:r>
            <w:r>
              <w:rPr>
                <w:rFonts w:eastAsia="Times New Roman"/>
                <w:color w:val="000000" w:themeColor="text1"/>
              </w:rPr>
              <w:t>.</w:t>
            </w:r>
          </w:p>
          <w:p w14:paraId="63BBFF9E" w14:textId="77777777" w:rsidR="008C0A5D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</w:p>
          <w:p w14:paraId="3E4A2D29" w14:textId="77777777" w:rsidR="008C0A5D" w:rsidRPr="0041199A" w:rsidRDefault="008C0A5D" w:rsidP="00125B4B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41199A">
              <w:rPr>
                <w:rFonts w:eastAsia="Times New Roman"/>
                <w:b/>
                <w:bCs/>
                <w:color w:val="000000" w:themeColor="text1"/>
              </w:rPr>
              <w:t xml:space="preserve">Prognozowane liczba transakcji </w:t>
            </w:r>
            <w:r>
              <w:rPr>
                <w:rFonts w:eastAsia="Times New Roman"/>
                <w:b/>
                <w:bCs/>
                <w:color w:val="000000" w:themeColor="text1"/>
              </w:rPr>
              <w:t>podmiotów publicznych innych niż JST</w:t>
            </w:r>
          </w:p>
          <w:tbl>
            <w:tblPr>
              <w:tblW w:w="8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709"/>
              <w:gridCol w:w="1417"/>
              <w:gridCol w:w="1418"/>
              <w:gridCol w:w="850"/>
              <w:gridCol w:w="1418"/>
              <w:gridCol w:w="2091"/>
            </w:tblGrid>
            <w:tr w:rsidR="008C0A5D" w:rsidRPr="00094A57" w14:paraId="4B2E9D6F" w14:textId="77777777" w:rsidTr="00125B4B">
              <w:trPr>
                <w:trHeight w:val="390"/>
              </w:trPr>
              <w:tc>
                <w:tcPr>
                  <w:tcW w:w="172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EB352CA" w14:textId="77777777" w:rsidR="008C0A5D" w:rsidRPr="0041199A" w:rsidRDefault="008C0A5D" w:rsidP="00125B4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7BE182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ZUS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86EEB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GITD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8024E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MS (usługa KRS)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41855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Suma transakcji</w:t>
                  </w:r>
                </w:p>
              </w:tc>
              <w:tc>
                <w:tcPr>
                  <w:tcW w:w="20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2F63A7D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Narastająco suma</w:t>
                  </w:r>
                </w:p>
              </w:tc>
            </w:tr>
            <w:tr w:rsidR="008C0A5D" w:rsidRPr="00094A57" w14:paraId="01365C2A" w14:textId="77777777" w:rsidTr="00125B4B">
              <w:trPr>
                <w:trHeight w:val="390"/>
              </w:trPr>
              <w:tc>
                <w:tcPr>
                  <w:tcW w:w="1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5A84DD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A7EE72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737549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            -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67649B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284 000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8B8E8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200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E7094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   284 200 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15B28BA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     284 200 </w:t>
                  </w:r>
                </w:p>
              </w:tc>
            </w:tr>
            <w:tr w:rsidR="008C0A5D" w:rsidRPr="00094A57" w14:paraId="59AA567A" w14:textId="77777777" w:rsidTr="00125B4B">
              <w:trPr>
                <w:trHeight w:val="390"/>
              </w:trPr>
              <w:tc>
                <w:tcPr>
                  <w:tcW w:w="1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7A5CA6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411848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D6E8B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1 680 000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968769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454 400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D5BAD6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6D689B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2 134 700 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252B304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  2 418 900 </w:t>
                  </w:r>
                </w:p>
              </w:tc>
            </w:tr>
            <w:tr w:rsidR="008C0A5D" w:rsidRPr="00094A57" w14:paraId="17831DCA" w14:textId="77777777" w:rsidTr="00125B4B">
              <w:trPr>
                <w:trHeight w:val="390"/>
              </w:trPr>
              <w:tc>
                <w:tcPr>
                  <w:tcW w:w="1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C45EBC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733906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2028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5F7637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3 360 000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47106C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568 000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4DBD32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400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602FAF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3 928 400 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5123B8B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  6 347 300 </w:t>
                  </w:r>
                </w:p>
              </w:tc>
            </w:tr>
            <w:tr w:rsidR="008C0A5D" w:rsidRPr="00094A57" w14:paraId="07542A4D" w14:textId="77777777" w:rsidTr="00125B4B">
              <w:trPr>
                <w:trHeight w:val="390"/>
              </w:trPr>
              <w:tc>
                <w:tcPr>
                  <w:tcW w:w="1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1A7D24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3F8EBE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2029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3DF80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3 360 000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B1E820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568 000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22D70F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400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A1469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3 928 400 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1D2CFF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10 275 700 </w:t>
                  </w:r>
                </w:p>
              </w:tc>
            </w:tr>
            <w:tr w:rsidR="008C0A5D" w:rsidRPr="00094A57" w14:paraId="2A9AE781" w14:textId="77777777" w:rsidTr="00125B4B">
              <w:trPr>
                <w:trHeight w:val="390"/>
              </w:trPr>
              <w:tc>
                <w:tcPr>
                  <w:tcW w:w="1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E78298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9EB04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2030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09E49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3 360 000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92B95C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568 000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DF615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400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36609E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3 928 400 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82550D5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14 204 100 </w:t>
                  </w:r>
                </w:p>
              </w:tc>
            </w:tr>
            <w:tr w:rsidR="008C0A5D" w:rsidRPr="00094A57" w14:paraId="7067EC98" w14:textId="77777777" w:rsidTr="00125B4B">
              <w:trPr>
                <w:trHeight w:val="390"/>
              </w:trPr>
              <w:tc>
                <w:tcPr>
                  <w:tcW w:w="1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B00E77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27B376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2031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1C939A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3 360 000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575DB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568 000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B2854E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400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B0BCC1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3 928 400 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9461386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18 132 500 </w:t>
                  </w:r>
                </w:p>
              </w:tc>
            </w:tr>
            <w:tr w:rsidR="008C0A5D" w:rsidRPr="00094A57" w14:paraId="57AB3F1C" w14:textId="77777777" w:rsidTr="00125B4B">
              <w:trPr>
                <w:trHeight w:val="390"/>
              </w:trPr>
              <w:tc>
                <w:tcPr>
                  <w:tcW w:w="1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EC7928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F0C9C6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2032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798D64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3 360 000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3214B6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568 000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516CB9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400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4D08C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3 928 400 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C814E7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22 060 900 </w:t>
                  </w:r>
                </w:p>
              </w:tc>
            </w:tr>
            <w:tr w:rsidR="008C0A5D" w:rsidRPr="00094A57" w14:paraId="3B53DF16" w14:textId="77777777" w:rsidTr="00125B4B">
              <w:trPr>
                <w:trHeight w:val="390"/>
              </w:trPr>
              <w:tc>
                <w:tcPr>
                  <w:tcW w:w="1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A0EAE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FFEE0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2033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C1AD3E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3 360 000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200381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568 000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335FEE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500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F3EECD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3 928 500 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21CF0EF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25 989 400 </w:t>
                  </w:r>
                </w:p>
              </w:tc>
            </w:tr>
            <w:tr w:rsidR="008C0A5D" w:rsidRPr="00094A57" w14:paraId="2BA8B9B5" w14:textId="77777777" w:rsidTr="00125B4B">
              <w:trPr>
                <w:trHeight w:val="390"/>
              </w:trPr>
              <w:tc>
                <w:tcPr>
                  <w:tcW w:w="1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A215CD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2B25E7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2034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59CCE1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3 360 000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15DC41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568 000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AFA804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500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CD8BC8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3 928 500 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0782177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29 917 900 </w:t>
                  </w:r>
                </w:p>
              </w:tc>
            </w:tr>
            <w:tr w:rsidR="008C0A5D" w:rsidRPr="00094A57" w14:paraId="797DD14E" w14:textId="77777777" w:rsidTr="00125B4B">
              <w:trPr>
                <w:trHeight w:val="390"/>
              </w:trPr>
              <w:tc>
                <w:tcPr>
                  <w:tcW w:w="10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E928AD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>prognoza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CA391B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>2035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FDACDB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3 360 000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DD3B8E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568 000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4282F1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500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60E8C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41199A">
                    <w:rPr>
                      <w:rFonts w:eastAsia="Times New Roman"/>
                      <w:sz w:val="20"/>
                    </w:rPr>
                    <w:t xml:space="preserve">        3 928 500 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888F72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 xml:space="preserve">        33 846 400 </w:t>
                  </w:r>
                </w:p>
              </w:tc>
            </w:tr>
          </w:tbl>
          <w:p w14:paraId="6AD38423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4F8114A5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CEDF06E">
              <w:rPr>
                <w:rFonts w:eastAsia="Times New Roman"/>
                <w:color w:val="000000" w:themeColor="text1"/>
              </w:rPr>
              <w:t>Planowana stawka za jedną transakcj</w:t>
            </w:r>
            <w:r>
              <w:rPr>
                <w:rFonts w:eastAsia="Times New Roman"/>
                <w:color w:val="000000" w:themeColor="text1"/>
              </w:rPr>
              <w:t>ę</w:t>
            </w:r>
            <w:r w:rsidRPr="0CEDF06E">
              <w:rPr>
                <w:rFonts w:eastAsia="Times New Roman"/>
                <w:color w:val="000000" w:themeColor="text1"/>
              </w:rPr>
              <w:t xml:space="preserve"> równa jest 0,10 PLN </w:t>
            </w:r>
            <w:r>
              <w:rPr>
                <w:rFonts w:eastAsia="Times New Roman"/>
                <w:color w:val="000000" w:themeColor="text1"/>
              </w:rPr>
              <w:t>–</w:t>
            </w:r>
            <w:r w:rsidRPr="0CEDF06E">
              <w:rPr>
                <w:rFonts w:eastAsia="Times New Roman"/>
                <w:color w:val="000000" w:themeColor="text1"/>
              </w:rPr>
              <w:t xml:space="preserve"> podsumowanie wydatków zostało zawarte w ostatniej tabeli.</w:t>
            </w:r>
          </w:p>
          <w:p w14:paraId="2601E75E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3215CA6E" w14:textId="77777777" w:rsidR="008C0A5D" w:rsidRPr="000E2D51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0E2D51">
              <w:rPr>
                <w:rFonts w:eastAsia="Times New Roman"/>
                <w:color w:val="000000" w:themeColor="text1"/>
              </w:rPr>
              <w:t>Do wyliczenia prowizji 0,1</w:t>
            </w:r>
            <w:r>
              <w:rPr>
                <w:rFonts w:eastAsia="Times New Roman"/>
                <w:color w:val="000000" w:themeColor="text1"/>
              </w:rPr>
              <w:t>0</w:t>
            </w:r>
            <w:r w:rsidRPr="000E2D51">
              <w:rPr>
                <w:rFonts w:eastAsia="Times New Roman"/>
                <w:color w:val="000000" w:themeColor="text1"/>
              </w:rPr>
              <w:t xml:space="preserve"> zł zostały przyjęte następujące założenia:</w:t>
            </w:r>
          </w:p>
          <w:p w14:paraId="0903AA2B" w14:textId="77777777" w:rsidR="008C0A5D" w:rsidRPr="000E2D51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0E2D51">
              <w:rPr>
                <w:rFonts w:eastAsia="Times New Roman"/>
                <w:color w:val="000000" w:themeColor="text1"/>
              </w:rPr>
              <w:t>1.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 w:rsidRPr="000E2D51">
              <w:rPr>
                <w:rFonts w:eastAsia="Times New Roman"/>
                <w:color w:val="000000" w:themeColor="text1"/>
              </w:rPr>
              <w:t>W ramach schematu płatniczego koszty procesowania transakcji płatniczych:</w:t>
            </w:r>
          </w:p>
          <w:p w14:paraId="6CA3DCAE" w14:textId="77777777" w:rsidR="008C0A5D" w:rsidRPr="000E2D51" w:rsidRDefault="008C0A5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rPr>
                <w:rFonts w:eastAsia="Times New Roman"/>
                <w:color w:val="000000" w:themeColor="text1"/>
              </w:rPr>
            </w:pPr>
            <w:r w:rsidRPr="000E2D51">
              <w:rPr>
                <w:rFonts w:eastAsia="Times New Roman"/>
                <w:color w:val="000000" w:themeColor="text1"/>
              </w:rPr>
              <w:t>0,02 zł – prowizja dla schematu płatniczego oraz dla banku wydawcy płatnika przekazywana przez BGK</w:t>
            </w:r>
            <w:r>
              <w:rPr>
                <w:rFonts w:eastAsia="Times New Roman"/>
                <w:color w:val="000000" w:themeColor="text1"/>
              </w:rPr>
              <w:t>,</w:t>
            </w:r>
          </w:p>
          <w:p w14:paraId="6555EDBA" w14:textId="77777777" w:rsidR="008C0A5D" w:rsidRPr="000E2D51" w:rsidRDefault="008C0A5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rPr>
                <w:rFonts w:eastAsia="Times New Roman"/>
                <w:color w:val="000000" w:themeColor="text1"/>
              </w:rPr>
            </w:pPr>
            <w:r w:rsidRPr="000E2D51">
              <w:rPr>
                <w:rFonts w:eastAsia="Times New Roman"/>
                <w:color w:val="000000" w:themeColor="text1"/>
              </w:rPr>
              <w:t>0,06 zł – koszt pojedynczego komunikatu płatniczego do systemu rozliczeniowego</w:t>
            </w:r>
            <w:r>
              <w:rPr>
                <w:rFonts w:eastAsia="Times New Roman"/>
                <w:color w:val="000000" w:themeColor="text1"/>
              </w:rPr>
              <w:t>.</w:t>
            </w:r>
            <w:r w:rsidRPr="000E2D51">
              <w:rPr>
                <w:rFonts w:eastAsia="Times New Roman"/>
                <w:color w:val="000000" w:themeColor="text1"/>
              </w:rPr>
              <w:t> </w:t>
            </w:r>
          </w:p>
          <w:p w14:paraId="2C8DF5C7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0E2D51">
              <w:rPr>
                <w:rFonts w:eastAsia="Times New Roman"/>
                <w:color w:val="000000" w:themeColor="text1"/>
              </w:rPr>
              <w:t>2. Pozostałe koszty, w tym koszty osobowe - 0,02 zł</w:t>
            </w:r>
            <w:r>
              <w:rPr>
                <w:rFonts w:eastAsia="Times New Roman"/>
                <w:color w:val="000000" w:themeColor="text1"/>
              </w:rPr>
              <w:t>.</w:t>
            </w:r>
          </w:p>
          <w:p w14:paraId="5D1A9AC6" w14:textId="77777777" w:rsidR="008C0A5D" w:rsidRPr="000E2D51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0B082B5" w14:textId="77777777" w:rsidR="008C0A5D" w:rsidRPr="00F8208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K</w:t>
            </w:r>
            <w:r w:rsidRPr="00F8208D">
              <w:rPr>
                <w:rFonts w:eastAsia="Times New Roman"/>
                <w:color w:val="000000" w:themeColor="text1"/>
              </w:rPr>
              <w:t xml:space="preserve">oszty </w:t>
            </w:r>
            <w:r>
              <w:rPr>
                <w:rFonts w:eastAsia="Times New Roman"/>
                <w:color w:val="000000" w:themeColor="text1"/>
              </w:rPr>
              <w:t>prowizji niektórych</w:t>
            </w:r>
            <w:r w:rsidRPr="00F8208D">
              <w:rPr>
                <w:rFonts w:eastAsia="Times New Roman"/>
                <w:color w:val="000000" w:themeColor="text1"/>
              </w:rPr>
              <w:t xml:space="preserve"> dostawców</w:t>
            </w:r>
            <w:r>
              <w:rPr>
                <w:rFonts w:eastAsia="Times New Roman"/>
                <w:color w:val="000000" w:themeColor="text1"/>
              </w:rPr>
              <w:t xml:space="preserve"> usług płatniczych:</w:t>
            </w:r>
          </w:p>
          <w:p w14:paraId="6E933F5B" w14:textId="77777777" w:rsidR="008C0A5D" w:rsidRPr="00F8208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F8208D">
              <w:rPr>
                <w:rFonts w:eastAsia="Times New Roman"/>
                <w:color w:val="000000" w:themeColor="text1"/>
              </w:rPr>
              <w:t> </w:t>
            </w:r>
          </w:p>
          <w:p w14:paraId="21F26B97" w14:textId="77777777" w:rsidR="008C0A5D" w:rsidRPr="00F8208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F8208D">
              <w:rPr>
                <w:rFonts w:eastAsia="Times New Roman"/>
                <w:color w:val="000000" w:themeColor="text1"/>
              </w:rPr>
              <w:t>PayU – przelew/BLIK/karta/portfel 0,15 zł +1,15% od wartości transakcji</w:t>
            </w:r>
          </w:p>
          <w:p w14:paraId="6C163820" w14:textId="77777777" w:rsidR="008C0A5D" w:rsidRPr="00F8208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F8208D">
              <w:rPr>
                <w:rFonts w:eastAsia="Times New Roman"/>
                <w:color w:val="000000" w:themeColor="text1"/>
              </w:rPr>
              <w:t xml:space="preserve">Przelewy24 </w:t>
            </w:r>
            <w:r>
              <w:rPr>
                <w:rFonts w:eastAsia="Times New Roman"/>
                <w:color w:val="000000" w:themeColor="text1"/>
              </w:rPr>
              <w:t>–</w:t>
            </w:r>
            <w:r w:rsidRPr="00F8208D">
              <w:rPr>
                <w:rFonts w:eastAsia="Times New Roman"/>
                <w:color w:val="000000" w:themeColor="text1"/>
              </w:rPr>
              <w:t xml:space="preserve"> przelew/BLIK/karta/portfel 0,30 zł + 1,29% od wartości transakcji</w:t>
            </w:r>
          </w:p>
          <w:p w14:paraId="2B740D47" w14:textId="77777777" w:rsidR="008C0A5D" w:rsidRPr="00F8208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F8208D">
              <w:rPr>
                <w:rFonts w:eastAsia="Times New Roman"/>
                <w:color w:val="000000" w:themeColor="text1"/>
              </w:rPr>
              <w:t xml:space="preserve">TPay </w:t>
            </w:r>
            <w:r>
              <w:rPr>
                <w:rFonts w:eastAsia="Times New Roman"/>
                <w:color w:val="000000" w:themeColor="text1"/>
              </w:rPr>
              <w:t>–</w:t>
            </w:r>
            <w:r w:rsidRPr="00F8208D">
              <w:rPr>
                <w:rFonts w:eastAsia="Times New Roman"/>
                <w:color w:val="000000" w:themeColor="text1"/>
              </w:rPr>
              <w:t xml:space="preserve"> przelew/BLIK/karta/portfel 0,39 zł + 1,78% od wartości transakcji </w:t>
            </w:r>
          </w:p>
          <w:p w14:paraId="1E2E14C4" w14:textId="77777777" w:rsidR="008C0A5D" w:rsidRPr="00F8208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F8208D">
              <w:rPr>
                <w:rFonts w:eastAsia="Times New Roman"/>
                <w:color w:val="000000" w:themeColor="text1"/>
              </w:rPr>
              <w:t xml:space="preserve">eService </w:t>
            </w:r>
            <w:r>
              <w:rPr>
                <w:rFonts w:eastAsia="Times New Roman"/>
                <w:color w:val="000000" w:themeColor="text1"/>
              </w:rPr>
              <w:t>–</w:t>
            </w:r>
            <w:r w:rsidRPr="00F8208D">
              <w:rPr>
                <w:rFonts w:eastAsia="Times New Roman"/>
                <w:color w:val="000000" w:themeColor="text1"/>
              </w:rPr>
              <w:t xml:space="preserve"> przelew/BLIK/karta/portfel 1,15% od wartości transakcji</w:t>
            </w:r>
          </w:p>
          <w:p w14:paraId="68DF70FA" w14:textId="77777777" w:rsidR="008C0A5D" w:rsidRPr="00F8208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F8208D">
              <w:rPr>
                <w:rFonts w:eastAsia="Times New Roman"/>
                <w:color w:val="000000" w:themeColor="text1"/>
              </w:rPr>
              <w:t>Autopay – przelew/BLIK/karta/portfel 1,19% od wartości transakcji</w:t>
            </w:r>
          </w:p>
          <w:p w14:paraId="5EFE157D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0F8208D">
              <w:rPr>
                <w:rFonts w:eastAsia="Times New Roman"/>
                <w:color w:val="000000" w:themeColor="text1"/>
              </w:rPr>
              <w:t> </w:t>
            </w:r>
          </w:p>
          <w:p w14:paraId="548B411D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 w:rsidRPr="0CEDF06E">
              <w:rPr>
                <w:rFonts w:eastAsia="Times New Roman"/>
                <w:color w:val="000000" w:themeColor="text1"/>
              </w:rPr>
              <w:t xml:space="preserve">Dodatkowo na koszt projektu wpłynie kwota dotacji dla </w:t>
            </w:r>
            <w:r>
              <w:rPr>
                <w:rFonts w:eastAsia="Times New Roman"/>
                <w:color w:val="000000" w:themeColor="text1"/>
              </w:rPr>
              <w:t>JST (o liczbie mieszkańców do 10 tys)</w:t>
            </w:r>
            <w:r w:rsidRPr="0CEDF06E">
              <w:rPr>
                <w:rFonts w:eastAsia="Times New Roman"/>
                <w:color w:val="000000" w:themeColor="text1"/>
              </w:rPr>
              <w:t xml:space="preserve"> w celu integracji z ePłatnościmi. Usługa nie jest obowiązkowa i udzielone dotacje w latach 2026-2028 w znacz</w:t>
            </w:r>
            <w:r>
              <w:rPr>
                <w:rFonts w:eastAsia="Times New Roman"/>
                <w:color w:val="000000" w:themeColor="text1"/>
              </w:rPr>
              <w:t>nym</w:t>
            </w:r>
            <w:r w:rsidRPr="0CEDF06E">
              <w:rPr>
                <w:rFonts w:eastAsia="Times New Roman"/>
                <w:color w:val="000000" w:themeColor="text1"/>
              </w:rPr>
              <w:t xml:space="preserve"> stopniu przyczynią się do rozpowszechnienia usługi. Wsparcie planowane jest dla najmniejszych JST. </w:t>
            </w:r>
          </w:p>
          <w:p w14:paraId="7D4DD42B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Na podstawie informacji o kosztach związanych z integracją w ramach pilotażu usługi ePłatności oszacowany został średni koszt dotacji w wysokości 30 tys. PLN. Koszty te obejmują wydatki poniesione dotychczas w ramach Pilotażu przez urzędy do 10 tys. mieszkańców. </w:t>
            </w:r>
          </w:p>
          <w:p w14:paraId="2DD15F45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40B866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P</w:t>
            </w:r>
            <w:r w:rsidRPr="0CEDF06E">
              <w:rPr>
                <w:rFonts w:eastAsia="Times New Roman"/>
                <w:color w:val="000000" w:themeColor="text1"/>
              </w:rPr>
              <w:t>rzewidywany koszt przedstawia się następująco (i w każdym roku będzie zależny od dostępnych na dotacje środków w budżecie państwa):</w:t>
            </w:r>
          </w:p>
          <w:p w14:paraId="51EF1531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tbl>
            <w:tblPr>
              <w:tblW w:w="89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1276"/>
              <w:gridCol w:w="1842"/>
              <w:gridCol w:w="2127"/>
              <w:gridCol w:w="2186"/>
            </w:tblGrid>
            <w:tr w:rsidR="008C0A5D" w:rsidRPr="008C5F69" w14:paraId="5CB678B6" w14:textId="77777777" w:rsidTr="00125B4B">
              <w:trPr>
                <w:trHeight w:val="310"/>
                <w:jc w:val="center"/>
              </w:trPr>
              <w:tc>
                <w:tcPr>
                  <w:tcW w:w="14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C0CE778" w14:textId="77777777" w:rsidR="008C0A5D" w:rsidRPr="008C5F69" w:rsidRDefault="008C0A5D" w:rsidP="00125B4B">
                  <w:pPr>
                    <w:spacing w:line="240" w:lineRule="auto"/>
                    <w:jc w:val="center"/>
                    <w:rPr>
                      <w:rFonts w:eastAsia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18CB4B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8C5F69">
                    <w:rPr>
                      <w:rFonts w:eastAsia="Times New Roman"/>
                      <w:b/>
                      <w:bCs/>
                      <w:sz w:val="20"/>
                    </w:rPr>
                    <w:t>Rok podłączenia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3C013F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8C5F69">
                    <w:rPr>
                      <w:rFonts w:eastAsia="Times New Roman"/>
                      <w:b/>
                      <w:bCs/>
                      <w:sz w:val="20"/>
                    </w:rPr>
                    <w:t>2026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089140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8C5F69">
                    <w:rPr>
                      <w:rFonts w:eastAsia="Times New Roman"/>
                      <w:b/>
                      <w:bCs/>
                      <w:sz w:val="20"/>
                    </w:rPr>
                    <w:t>2027</w:t>
                  </w:r>
                </w:p>
              </w:tc>
              <w:tc>
                <w:tcPr>
                  <w:tcW w:w="21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8B9030B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8C5F69">
                    <w:rPr>
                      <w:rFonts w:eastAsia="Times New Roman"/>
                      <w:b/>
                      <w:bCs/>
                      <w:sz w:val="20"/>
                    </w:rPr>
                    <w:t>2028</w:t>
                  </w:r>
                </w:p>
              </w:tc>
            </w:tr>
            <w:tr w:rsidR="008C0A5D" w:rsidRPr="008C5F69" w14:paraId="0F5D98B5" w14:textId="77777777" w:rsidTr="00125B4B">
              <w:trPr>
                <w:trHeight w:val="420"/>
                <w:jc w:val="center"/>
              </w:trPr>
              <w:tc>
                <w:tcPr>
                  <w:tcW w:w="1469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extDirection w:val="btLr"/>
                  <w:vAlign w:val="center"/>
                  <w:hideMark/>
                </w:tcPr>
                <w:p w14:paraId="5F41D567" w14:textId="77777777" w:rsidR="008C0A5D" w:rsidRPr="008C5F69" w:rsidRDefault="008C0A5D" w:rsidP="00125B4B">
                  <w:pPr>
                    <w:spacing w:line="240" w:lineRule="auto"/>
                    <w:jc w:val="center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Liczba podmiotów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A4B0D9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bardzo mała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216C44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150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435B39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150</w:t>
                  </w:r>
                </w:p>
              </w:tc>
              <w:tc>
                <w:tcPr>
                  <w:tcW w:w="21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40F708C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200</w:t>
                  </w:r>
                </w:p>
              </w:tc>
            </w:tr>
            <w:tr w:rsidR="008C0A5D" w:rsidRPr="008C5F69" w14:paraId="1A7CC6AC" w14:textId="77777777" w:rsidTr="00125B4B">
              <w:trPr>
                <w:trHeight w:val="420"/>
                <w:jc w:val="center"/>
              </w:trPr>
              <w:tc>
                <w:tcPr>
                  <w:tcW w:w="146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4B81652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3D14F6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mała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5A2504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150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AE9D5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150</w:t>
                  </w:r>
                </w:p>
              </w:tc>
              <w:tc>
                <w:tcPr>
                  <w:tcW w:w="21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8F99958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200</w:t>
                  </w:r>
                </w:p>
              </w:tc>
            </w:tr>
            <w:tr w:rsidR="008C0A5D" w:rsidRPr="008C5F69" w14:paraId="08174F8B" w14:textId="77777777" w:rsidTr="00125B4B">
              <w:trPr>
                <w:trHeight w:val="420"/>
                <w:jc w:val="center"/>
              </w:trPr>
              <w:tc>
                <w:tcPr>
                  <w:tcW w:w="146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FDE7825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3FE1B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Razem: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282369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300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E31F34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300</w:t>
                  </w:r>
                </w:p>
              </w:tc>
              <w:tc>
                <w:tcPr>
                  <w:tcW w:w="21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30E03C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400</w:t>
                  </w:r>
                </w:p>
              </w:tc>
            </w:tr>
            <w:tr w:rsidR="008C0A5D" w:rsidRPr="008C5F69" w14:paraId="4278757D" w14:textId="77777777" w:rsidTr="00125B4B">
              <w:trPr>
                <w:trHeight w:val="300"/>
                <w:jc w:val="center"/>
              </w:trPr>
              <w:tc>
                <w:tcPr>
                  <w:tcW w:w="14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15330A3" w14:textId="77777777" w:rsidR="008C0A5D" w:rsidRPr="008C5F69" w:rsidRDefault="008C0A5D" w:rsidP="00125B4B">
                  <w:pPr>
                    <w:spacing w:line="240" w:lineRule="auto"/>
                    <w:jc w:val="center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Dotacje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D85F9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Kwota dotacji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899A78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 xml:space="preserve">            </w:t>
                  </w:r>
                  <w:r>
                    <w:rPr>
                      <w:rFonts w:eastAsia="Times New Roman"/>
                      <w:sz w:val="20"/>
                    </w:rPr>
                    <w:t>9</w:t>
                  </w:r>
                  <w:r w:rsidRPr="008C5F69">
                    <w:rPr>
                      <w:rFonts w:eastAsia="Times New Roman"/>
                      <w:sz w:val="20"/>
                    </w:rPr>
                    <w:t xml:space="preserve"> 000 000 zł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7BA18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 xml:space="preserve">            </w:t>
                  </w:r>
                  <w:r>
                    <w:rPr>
                      <w:rFonts w:eastAsia="Times New Roman"/>
                      <w:sz w:val="20"/>
                    </w:rPr>
                    <w:t>9</w:t>
                  </w:r>
                  <w:r w:rsidRPr="008C5F69">
                    <w:rPr>
                      <w:rFonts w:eastAsia="Times New Roman"/>
                      <w:sz w:val="20"/>
                    </w:rPr>
                    <w:t xml:space="preserve"> 000 000 zł </w:t>
                  </w:r>
                </w:p>
              </w:tc>
              <w:tc>
                <w:tcPr>
                  <w:tcW w:w="21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4AB1604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 xml:space="preserve">            </w:t>
                  </w:r>
                  <w:r>
                    <w:rPr>
                      <w:rFonts w:eastAsia="Times New Roman"/>
                      <w:sz w:val="20"/>
                    </w:rPr>
                    <w:t xml:space="preserve">12 </w:t>
                  </w:r>
                  <w:r w:rsidRPr="008C5F69">
                    <w:rPr>
                      <w:rFonts w:eastAsia="Times New Roman"/>
                      <w:sz w:val="20"/>
                    </w:rPr>
                    <w:t xml:space="preserve">000 000 zł </w:t>
                  </w:r>
                </w:p>
              </w:tc>
            </w:tr>
            <w:tr w:rsidR="008C0A5D" w:rsidRPr="008C5F69" w14:paraId="12241139" w14:textId="77777777" w:rsidTr="00125B4B">
              <w:trPr>
                <w:trHeight w:val="300"/>
                <w:jc w:val="center"/>
              </w:trPr>
              <w:tc>
                <w:tcPr>
                  <w:tcW w:w="14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24014AE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6609A4" w14:textId="77777777" w:rsidR="008C0A5D" w:rsidRPr="008C5F69" w:rsidRDefault="008C0A5D" w:rsidP="00125B4B">
                  <w:pPr>
                    <w:spacing w:line="240" w:lineRule="auto"/>
                    <w:rPr>
                      <w:rFonts w:eastAsia="Times New Roman"/>
                      <w:sz w:val="20"/>
                    </w:rPr>
                  </w:pPr>
                  <w:r w:rsidRPr="008C5F69">
                    <w:rPr>
                      <w:rFonts w:eastAsia="Times New Roman"/>
                      <w:sz w:val="20"/>
                    </w:rPr>
                    <w:t>Kwota dotacji narastająco: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8C956B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 xml:space="preserve">            </w:t>
                  </w:r>
                  <w:r>
                    <w:rPr>
                      <w:rFonts w:eastAsia="Times New Roman"/>
                      <w:b/>
                      <w:bCs/>
                      <w:sz w:val="20"/>
                    </w:rPr>
                    <w:t>9</w:t>
                  </w: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 xml:space="preserve"> 000 000 zł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4D1698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 xml:space="preserve">            </w:t>
                  </w:r>
                  <w:r>
                    <w:rPr>
                      <w:rFonts w:eastAsia="Times New Roman"/>
                      <w:b/>
                      <w:bCs/>
                      <w:sz w:val="20"/>
                    </w:rPr>
                    <w:t>18</w:t>
                  </w: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 xml:space="preserve"> 000 000 zł </w:t>
                  </w:r>
                </w:p>
              </w:tc>
              <w:tc>
                <w:tcPr>
                  <w:tcW w:w="21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C688E3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20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 xml:space="preserve">            </w:t>
                  </w:r>
                  <w:r>
                    <w:rPr>
                      <w:rFonts w:eastAsia="Times New Roman"/>
                      <w:b/>
                      <w:bCs/>
                      <w:sz w:val="20"/>
                    </w:rPr>
                    <w:t>30</w:t>
                  </w:r>
                  <w:r w:rsidRPr="0041199A">
                    <w:rPr>
                      <w:rFonts w:eastAsia="Times New Roman"/>
                      <w:b/>
                      <w:bCs/>
                      <w:sz w:val="20"/>
                    </w:rPr>
                    <w:t xml:space="preserve"> 000 000 zł </w:t>
                  </w:r>
                </w:p>
              </w:tc>
            </w:tr>
          </w:tbl>
          <w:p w14:paraId="0CB57141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7C69146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Podsumowując, w ramach projektu przewidywane wydatki dotyczą kosztów transakcji oraz kwot dotacji na integracje z systemem dla najmniejszych podmiotów.</w:t>
            </w:r>
          </w:p>
          <w:p w14:paraId="07BFE8EC" w14:textId="77777777" w:rsidR="008C0A5D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</w:rPr>
            </w:pPr>
          </w:p>
          <w:tbl>
            <w:tblPr>
              <w:tblW w:w="880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8"/>
              <w:gridCol w:w="1701"/>
              <w:gridCol w:w="1276"/>
              <w:gridCol w:w="1559"/>
              <w:gridCol w:w="1418"/>
              <w:gridCol w:w="1975"/>
            </w:tblGrid>
            <w:tr w:rsidR="008C0A5D" w:rsidRPr="00C25D86" w14:paraId="6B749555" w14:textId="77777777" w:rsidTr="00907342">
              <w:trPr>
                <w:trHeight w:val="260"/>
              </w:trPr>
              <w:tc>
                <w:tcPr>
                  <w:tcW w:w="87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8576BF1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D4DDF4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Prowizje JST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53DEF1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Prowizje JC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59C7C6B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Dotacje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5E0FE7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Razem:</w:t>
                  </w:r>
                </w:p>
              </w:tc>
              <w:tc>
                <w:tcPr>
                  <w:tcW w:w="19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694F480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Narastająco:</w:t>
                  </w:r>
                </w:p>
              </w:tc>
            </w:tr>
            <w:tr w:rsidR="008C0A5D" w:rsidRPr="00C25D86" w14:paraId="116BE46E" w14:textId="77777777" w:rsidTr="00907342">
              <w:trPr>
                <w:trHeight w:val="27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291DEFA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rok bazowy 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241BD2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  34 338,80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4C42FF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         -  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5B30635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           -   zł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01E35D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5C0E17">
                    <w:rPr>
                      <w:rFonts w:eastAsia="Times New Roman"/>
                      <w:sz w:val="16"/>
                      <w:szCs w:val="16"/>
                    </w:rPr>
                    <w:t>34 338,80 zł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37C44E5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34 338,80 zł</w:t>
                  </w:r>
                </w:p>
              </w:tc>
            </w:tr>
            <w:tr w:rsidR="008C0A5D" w:rsidRPr="00C25D86" w14:paraId="00A66AE6" w14:textId="77777777" w:rsidTr="00907342">
              <w:trPr>
                <w:trHeight w:val="26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326FE44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F55A49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154 627,50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95656F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28 420,00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2610EAB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9</w:t>
                  </w: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000 000,00 zł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7C8A91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9 183 047,50 zł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4DCAB59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9 217 386,30 zł</w:t>
                  </w:r>
                </w:p>
              </w:tc>
            </w:tr>
            <w:tr w:rsidR="008C0A5D" w:rsidRPr="00C25D86" w14:paraId="13C278CF" w14:textId="77777777" w:rsidTr="00907342">
              <w:trPr>
                <w:trHeight w:val="26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B5FACCF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753DF7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392 427,80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D71DFC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213 470,00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3A62856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9</w:t>
                  </w: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000 000,00 zł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663246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9 605 897,80 zł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3A388C2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18 823 284,10 zł</w:t>
                  </w:r>
                </w:p>
              </w:tc>
            </w:tr>
            <w:tr w:rsidR="008C0A5D" w:rsidRPr="00C25D86" w14:paraId="5D380C9A" w14:textId="77777777" w:rsidTr="00907342">
              <w:trPr>
                <w:trHeight w:val="26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6A15A1E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0AFE3A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898 927,00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C7BBEF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392 840,00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8817087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18</w:t>
                  </w: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000 000,00 zł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C6C76D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13 291 767,00 zł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CDD9F5F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 xml:space="preserve">32 115 051,10 zł </w:t>
                  </w: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C0A5D" w:rsidRPr="00C25D86" w14:paraId="5B8E8F58" w14:textId="77777777" w:rsidTr="00907342">
              <w:trPr>
                <w:trHeight w:val="26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A484AFC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71739F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1 692 290,80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6D7EF0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392 840,00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4ABB7C5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           -   zł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B5E0B3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5C0E17">
                    <w:rPr>
                      <w:rFonts w:eastAsia="Times New Roman"/>
                      <w:sz w:val="16"/>
                      <w:szCs w:val="16"/>
                    </w:rPr>
                    <w:t>2 085 130,80 zł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E7A0E96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34 200 181,90 zł</w:t>
                  </w:r>
                </w:p>
              </w:tc>
            </w:tr>
            <w:tr w:rsidR="008C0A5D" w:rsidRPr="00C25D86" w14:paraId="6A43918B" w14:textId="77777777" w:rsidTr="00907342">
              <w:trPr>
                <w:trHeight w:val="26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71E10BE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750079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2 903 381,50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9FE551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392 840,00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2D3994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           -   zł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06C4D9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5C0E17">
                    <w:rPr>
                      <w:rFonts w:eastAsia="Times New Roman"/>
                      <w:sz w:val="16"/>
                      <w:szCs w:val="16"/>
                    </w:rPr>
                    <w:t>3 296 221,50 zł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BA89C2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5C0E17">
                    <w:rPr>
                      <w:rFonts w:eastAsia="Times New Roman"/>
                      <w:sz w:val="16"/>
                      <w:szCs w:val="16"/>
                    </w:rPr>
                    <w:t>37 496 403,40 zł</w:t>
                  </w:r>
                </w:p>
              </w:tc>
            </w:tr>
            <w:tr w:rsidR="008C0A5D" w:rsidRPr="00C25D86" w14:paraId="44BF50A8" w14:textId="77777777" w:rsidTr="00907342">
              <w:trPr>
                <w:trHeight w:val="26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D3378EF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lastRenderedPageBreak/>
                    <w:t>2031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B330D4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4 575 624,00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652436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392 840,00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E2AF460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           -   zł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EDC8AA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4 968 464,00 zł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D37E7AA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42 464 867,40 zł</w:t>
                  </w:r>
                </w:p>
              </w:tc>
            </w:tr>
            <w:tr w:rsidR="008C0A5D" w:rsidRPr="00C25D86" w14:paraId="332C667D" w14:textId="77777777" w:rsidTr="00907342">
              <w:trPr>
                <w:trHeight w:val="26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A860615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2032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A457A8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5 595 194,20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C37D9A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392 840,00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B67847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           -   zł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312BF6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5 988 034,20 zł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7052FD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5C0E17">
                    <w:rPr>
                      <w:rFonts w:eastAsia="Times New Roman"/>
                      <w:sz w:val="16"/>
                      <w:szCs w:val="16"/>
                    </w:rPr>
                    <w:t>48 452 901,60 zł</w:t>
                  </w:r>
                </w:p>
              </w:tc>
            </w:tr>
            <w:tr w:rsidR="008C0A5D" w:rsidRPr="00C25D86" w14:paraId="48401A73" w14:textId="77777777" w:rsidTr="00907342">
              <w:trPr>
                <w:trHeight w:val="26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9649430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2033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95D9EB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6 772 946,60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D5D61A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392 850,00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837318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           -   zł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E33CC7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5C0E17">
                    <w:rPr>
                      <w:rFonts w:eastAsia="Times New Roman"/>
                      <w:sz w:val="16"/>
                      <w:szCs w:val="16"/>
                    </w:rPr>
                    <w:t>7 165 796,60 zł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49F8F10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55 618 698,20 zł</w:t>
                  </w:r>
                </w:p>
              </w:tc>
            </w:tr>
            <w:tr w:rsidR="008C0A5D" w:rsidRPr="00C25D86" w14:paraId="748EAFF1" w14:textId="77777777" w:rsidTr="00907342">
              <w:trPr>
                <w:trHeight w:val="26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E438C1C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2034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63024F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8 130 295,90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5C7F5E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392 850,00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48F1DDA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           -   zł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912D4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8 523 145,90 zł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CD438A9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5C0E17">
                    <w:rPr>
                      <w:rFonts w:eastAsia="Times New Roman"/>
                      <w:sz w:val="16"/>
                      <w:szCs w:val="16"/>
                    </w:rPr>
                    <w:t>64 141 844,10 zł</w:t>
                  </w:r>
                </w:p>
              </w:tc>
            </w:tr>
            <w:tr w:rsidR="008C0A5D" w:rsidRPr="00C25D86" w14:paraId="0320A8A3" w14:textId="77777777" w:rsidTr="00907342">
              <w:trPr>
                <w:trHeight w:val="26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10096D5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2035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A71A9C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9 686 696,30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B4931C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392 850,00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97C7B1B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                -   zł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78B7DCB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10 079 546,30 zł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D65BD6C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</w:t>
                  </w:r>
                  <w:r w:rsidRPr="005C0E17">
                    <w:rPr>
                      <w:rFonts w:eastAsia="Times New Roman"/>
                      <w:sz w:val="16"/>
                      <w:szCs w:val="16"/>
                    </w:rPr>
                    <w:t>74 221 390,40 zł</w:t>
                  </w:r>
                </w:p>
              </w:tc>
            </w:tr>
            <w:tr w:rsidR="008C0A5D" w:rsidRPr="00C25D86" w14:paraId="12E076E4" w14:textId="77777777" w:rsidTr="00907342">
              <w:trPr>
                <w:trHeight w:val="270"/>
              </w:trPr>
              <w:tc>
                <w:tcPr>
                  <w:tcW w:w="8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6F224DF" w14:textId="77777777" w:rsidR="008C0A5D" w:rsidRPr="0041199A" w:rsidRDefault="008C0A5D" w:rsidP="00125B4B">
                  <w:pPr>
                    <w:spacing w:line="240" w:lineRule="auto"/>
                    <w:jc w:val="right"/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Łącznie: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7D4692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    40 836 750,40 zł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092B6C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3 384 640,00 zł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9D3CD04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30</w:t>
                  </w:r>
                  <w:r w:rsidRPr="0041199A">
                    <w:rPr>
                      <w:rFonts w:eastAsia="Times New Roman"/>
                      <w:sz w:val="16"/>
                      <w:szCs w:val="16"/>
                    </w:rPr>
                    <w:t xml:space="preserve"> 000 000,00 zł </w:t>
                  </w:r>
                </w:p>
              </w:tc>
              <w:tc>
                <w:tcPr>
                  <w:tcW w:w="339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D6CD2D1" w14:textId="77777777" w:rsidR="008C0A5D" w:rsidRPr="0041199A" w:rsidRDefault="008C0A5D" w:rsidP="00125B4B">
                  <w:pPr>
                    <w:spacing w:line="240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483DCFEF" w14:textId="77777777" w:rsidR="008C0A5D" w:rsidRPr="0041199A" w:rsidRDefault="008C0A5D" w:rsidP="00125B4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14:paraId="065EEC21" w14:textId="77777777" w:rsidR="008C0A5D" w:rsidRPr="001155D5" w:rsidRDefault="008C0A5D" w:rsidP="00125B4B">
            <w:pPr>
              <w:spacing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41199A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</w:t>
            </w:r>
            <w:r w:rsidRPr="0CEDF06E">
              <w:rPr>
                <w:rFonts w:eastAsia="Times New Roman"/>
                <w:color w:val="000000" w:themeColor="text1"/>
              </w:rPr>
              <w:t xml:space="preserve"> </w:t>
            </w:r>
          </w:p>
        </w:tc>
      </w:tr>
      <w:tr w:rsidR="008C0A5D" w:rsidRPr="00FE1A39" w14:paraId="3ADAD70F" w14:textId="77777777" w:rsidTr="00484D74">
        <w:trPr>
          <w:gridAfter w:val="1"/>
          <w:wAfter w:w="7" w:type="dxa"/>
          <w:trHeight w:val="345"/>
        </w:trPr>
        <w:tc>
          <w:tcPr>
            <w:tcW w:w="10796" w:type="dxa"/>
            <w:gridSpan w:val="20"/>
            <w:shd w:val="clear" w:color="auto" w:fill="99CCFF"/>
          </w:tcPr>
          <w:p w14:paraId="36E2EE40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120" w:line="240" w:lineRule="auto"/>
              <w:jc w:val="both"/>
              <w:rPr>
                <w:b/>
                <w:color w:val="000000"/>
                <w:spacing w:val="-2"/>
              </w:rPr>
            </w:pPr>
            <w:r w:rsidRPr="00FE1A39">
              <w:rPr>
                <w:b/>
                <w:color w:val="000000"/>
                <w:spacing w:val="-2"/>
              </w:rPr>
              <w:lastRenderedPageBreak/>
              <w:t xml:space="preserve">Wpływ na </w:t>
            </w:r>
            <w:r w:rsidRPr="00FE1A39">
              <w:rPr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8C0A5D" w:rsidRPr="00FE1A39" w14:paraId="5A0EECA0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FFFFFF" w:themeFill="background1"/>
          </w:tcPr>
          <w:p w14:paraId="787921B4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FE1A39">
              <w:rPr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8C0A5D" w:rsidRPr="00FE1A39" w14:paraId="7BEA6D34" w14:textId="77777777" w:rsidTr="00484D74">
        <w:trPr>
          <w:gridAfter w:val="1"/>
          <w:wAfter w:w="7" w:type="dxa"/>
          <w:trHeight w:val="516"/>
        </w:trPr>
        <w:tc>
          <w:tcPr>
            <w:tcW w:w="2298" w:type="dxa"/>
            <w:gridSpan w:val="3"/>
            <w:shd w:val="clear" w:color="auto" w:fill="FFFFFF" w:themeFill="background1"/>
          </w:tcPr>
          <w:p w14:paraId="0998A83F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708" w:type="dxa"/>
            <w:shd w:val="clear" w:color="auto" w:fill="FFFFFF" w:themeFill="background1"/>
          </w:tcPr>
          <w:p w14:paraId="407B1E80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4E4DF562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452" w:type="dxa"/>
            <w:gridSpan w:val="3"/>
            <w:shd w:val="clear" w:color="auto" w:fill="FFFFFF" w:themeFill="background1"/>
          </w:tcPr>
          <w:p w14:paraId="1FCB851F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968" w:type="dxa"/>
            <w:gridSpan w:val="2"/>
            <w:shd w:val="clear" w:color="auto" w:fill="FFFFFF" w:themeFill="background1"/>
          </w:tcPr>
          <w:p w14:paraId="5DBECBE7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936" w:type="dxa"/>
            <w:gridSpan w:val="5"/>
            <w:shd w:val="clear" w:color="auto" w:fill="FFFFFF" w:themeFill="background1"/>
          </w:tcPr>
          <w:p w14:paraId="7BA14E5B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52" w:type="dxa"/>
            <w:gridSpan w:val="3"/>
            <w:shd w:val="clear" w:color="auto" w:fill="FFFFFF" w:themeFill="background1"/>
          </w:tcPr>
          <w:p w14:paraId="7647F968" w14:textId="77777777" w:rsidR="008C0A5D" w:rsidRPr="00FE1A39" w:rsidRDefault="008C0A5D" w:rsidP="00125B4B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083" w:type="dxa"/>
            <w:shd w:val="clear" w:color="auto" w:fill="FFFFFF" w:themeFill="background1"/>
          </w:tcPr>
          <w:p w14:paraId="423810D4" w14:textId="77777777" w:rsidR="008C0A5D" w:rsidRPr="00FE1A39" w:rsidRDefault="008C0A5D" w:rsidP="00125B4B">
            <w:pPr>
              <w:spacing w:line="240" w:lineRule="auto"/>
              <w:jc w:val="center"/>
              <w:rPr>
                <w:i/>
                <w:color w:val="000000"/>
                <w:spacing w:val="-2"/>
                <w:sz w:val="21"/>
                <w:szCs w:val="21"/>
              </w:rPr>
            </w:pPr>
            <w:r w:rsidRPr="00FE1A39">
              <w:rPr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FE1A39" w:rsidDel="0073273A">
              <w:rPr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FE1A39">
              <w:rPr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8C0A5D" w:rsidRPr="00FE1A39" w14:paraId="4DE0027F" w14:textId="77777777" w:rsidTr="00484D74">
        <w:trPr>
          <w:gridAfter w:val="1"/>
          <w:wAfter w:w="7" w:type="dxa"/>
          <w:trHeight w:val="142"/>
        </w:trPr>
        <w:tc>
          <w:tcPr>
            <w:tcW w:w="880" w:type="dxa"/>
            <w:vMerge w:val="restart"/>
            <w:shd w:val="clear" w:color="auto" w:fill="FFFFFF" w:themeFill="background1"/>
          </w:tcPr>
          <w:p w14:paraId="6B6C5C13" w14:textId="77777777" w:rsidR="008C0A5D" w:rsidRPr="00FE1A39" w:rsidRDefault="008C0A5D" w:rsidP="00125B4B">
            <w:pPr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W ujęciu pieniężnym</w:t>
            </w:r>
          </w:p>
          <w:p w14:paraId="37152C3B" w14:textId="77777777" w:rsidR="008C0A5D" w:rsidRPr="00FE1A39" w:rsidRDefault="008C0A5D" w:rsidP="00125B4B">
            <w:pPr>
              <w:rPr>
                <w:spacing w:val="-2"/>
                <w:sz w:val="21"/>
                <w:szCs w:val="21"/>
              </w:rPr>
            </w:pPr>
            <w:r w:rsidRPr="00FE1A39">
              <w:rPr>
                <w:spacing w:val="-2"/>
                <w:sz w:val="21"/>
                <w:szCs w:val="21"/>
              </w:rPr>
              <w:t xml:space="preserve">(w mln zł, </w:t>
            </w:r>
          </w:p>
          <w:p w14:paraId="424E997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spacing w:val="-2"/>
                <w:sz w:val="21"/>
                <w:szCs w:val="21"/>
              </w:rPr>
              <w:t>ceny stałe z 2022 r.)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5C634A3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8" w:type="dxa"/>
            <w:shd w:val="clear" w:color="auto" w:fill="FFFFFF" w:themeFill="background1"/>
          </w:tcPr>
          <w:p w14:paraId="682413B3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1E0AFF">
              <w:rPr>
                <w:color w:val="000000"/>
                <w:sz w:val="21"/>
                <w:szCs w:val="21"/>
              </w:rPr>
              <w:t>Nie dotyczy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4B149870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shd w:val="clear" w:color="auto" w:fill="FFFFFF" w:themeFill="background1"/>
          </w:tcPr>
          <w:p w14:paraId="7028D56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gridSpan w:val="2"/>
            <w:shd w:val="clear" w:color="auto" w:fill="FFFFFF" w:themeFill="background1"/>
          </w:tcPr>
          <w:p w14:paraId="6990C782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gridSpan w:val="5"/>
            <w:shd w:val="clear" w:color="auto" w:fill="FFFFFF" w:themeFill="background1"/>
          </w:tcPr>
          <w:p w14:paraId="7242AB74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shd w:val="clear" w:color="auto" w:fill="FFFFFF" w:themeFill="background1"/>
          </w:tcPr>
          <w:p w14:paraId="02B86A32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77CEA6C0" w14:textId="77777777" w:rsidR="008C0A5D" w:rsidRPr="00FE1A39" w:rsidRDefault="008C0A5D" w:rsidP="00125B4B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</w:p>
        </w:tc>
      </w:tr>
      <w:tr w:rsidR="008C0A5D" w:rsidRPr="00FE1A39" w14:paraId="4CDE9BB9" w14:textId="77777777" w:rsidTr="00484D74">
        <w:trPr>
          <w:gridAfter w:val="1"/>
          <w:wAfter w:w="7" w:type="dxa"/>
          <w:trHeight w:val="142"/>
        </w:trPr>
        <w:tc>
          <w:tcPr>
            <w:tcW w:w="880" w:type="dxa"/>
            <w:vMerge/>
          </w:tcPr>
          <w:p w14:paraId="25CC9E86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5EA5319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8" w:type="dxa"/>
            <w:shd w:val="clear" w:color="auto" w:fill="FFFFFF" w:themeFill="background1"/>
          </w:tcPr>
          <w:p w14:paraId="7982A671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1E0AFF">
              <w:rPr>
                <w:color w:val="000000"/>
                <w:sz w:val="21"/>
                <w:szCs w:val="21"/>
              </w:rPr>
              <w:t>Nie dotyczy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24383E61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shd w:val="clear" w:color="auto" w:fill="FFFFFF" w:themeFill="background1"/>
          </w:tcPr>
          <w:p w14:paraId="1CBDD67F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gridSpan w:val="2"/>
            <w:shd w:val="clear" w:color="auto" w:fill="FFFFFF" w:themeFill="background1"/>
          </w:tcPr>
          <w:p w14:paraId="39DA9603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gridSpan w:val="5"/>
            <w:shd w:val="clear" w:color="auto" w:fill="FFFFFF" w:themeFill="background1"/>
          </w:tcPr>
          <w:p w14:paraId="11B9BCB2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shd w:val="clear" w:color="auto" w:fill="FFFFFF" w:themeFill="background1"/>
          </w:tcPr>
          <w:p w14:paraId="1D88B6B5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20D60084" w14:textId="77777777" w:rsidR="008C0A5D" w:rsidRPr="00FE1A39" w:rsidRDefault="008C0A5D" w:rsidP="00125B4B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</w:p>
        </w:tc>
      </w:tr>
      <w:tr w:rsidR="008C0A5D" w:rsidRPr="00FE1A39" w14:paraId="4EE130A1" w14:textId="77777777" w:rsidTr="00484D74">
        <w:trPr>
          <w:gridAfter w:val="1"/>
          <w:wAfter w:w="7" w:type="dxa"/>
          <w:trHeight w:val="142"/>
        </w:trPr>
        <w:tc>
          <w:tcPr>
            <w:tcW w:w="880" w:type="dxa"/>
            <w:vMerge/>
          </w:tcPr>
          <w:p w14:paraId="1308E4E5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5741F31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sz w:val="21"/>
                <w:szCs w:val="21"/>
              </w:rPr>
              <w:t>rodzina, obywatele oraz gospodarstwa domowe</w:t>
            </w:r>
          </w:p>
        </w:tc>
        <w:tc>
          <w:tcPr>
            <w:tcW w:w="708" w:type="dxa"/>
            <w:shd w:val="clear" w:color="auto" w:fill="FFFFFF" w:themeFill="background1"/>
          </w:tcPr>
          <w:p w14:paraId="18189C25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1E0AFF">
              <w:rPr>
                <w:color w:val="000000"/>
                <w:sz w:val="21"/>
                <w:szCs w:val="21"/>
              </w:rPr>
              <w:t>Nie dotyczy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032AED8B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shd w:val="clear" w:color="auto" w:fill="FFFFFF" w:themeFill="background1"/>
          </w:tcPr>
          <w:p w14:paraId="20E7A685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gridSpan w:val="2"/>
            <w:shd w:val="clear" w:color="auto" w:fill="FFFFFF" w:themeFill="background1"/>
          </w:tcPr>
          <w:p w14:paraId="71EBF88F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gridSpan w:val="5"/>
            <w:shd w:val="clear" w:color="auto" w:fill="FFFFFF" w:themeFill="background1"/>
          </w:tcPr>
          <w:p w14:paraId="04AB784B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shd w:val="clear" w:color="auto" w:fill="FFFFFF" w:themeFill="background1"/>
          </w:tcPr>
          <w:p w14:paraId="41328FE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4BC7E677" w14:textId="77777777" w:rsidR="008C0A5D" w:rsidRPr="00FE1A39" w:rsidRDefault="008C0A5D" w:rsidP="00125B4B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</w:p>
        </w:tc>
      </w:tr>
      <w:tr w:rsidR="008C0A5D" w:rsidRPr="00FE1A39" w14:paraId="3490C2E6" w14:textId="77777777" w:rsidTr="00484D74">
        <w:trPr>
          <w:gridAfter w:val="1"/>
          <w:wAfter w:w="7" w:type="dxa"/>
          <w:trHeight w:val="142"/>
        </w:trPr>
        <w:tc>
          <w:tcPr>
            <w:tcW w:w="880" w:type="dxa"/>
            <w:vMerge/>
          </w:tcPr>
          <w:p w14:paraId="301382AE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7892027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FE1A39">
              <w:rPr>
                <w:color w:val="000000"/>
                <w:sz w:val="21"/>
                <w:szCs w:val="21"/>
              </w:rPr>
              <w:instrText xml:space="preserve"> FORMTEXT </w:instrText>
            </w:r>
            <w:r w:rsidRPr="00FE1A39">
              <w:rPr>
                <w:color w:val="000000"/>
                <w:sz w:val="21"/>
                <w:szCs w:val="21"/>
              </w:rPr>
            </w:r>
            <w:r w:rsidRPr="00FE1A39">
              <w:rPr>
                <w:color w:val="000000"/>
                <w:sz w:val="21"/>
                <w:szCs w:val="21"/>
              </w:rPr>
              <w:fldChar w:fldCharType="separate"/>
            </w:r>
            <w:r w:rsidRPr="00FE1A39">
              <w:rPr>
                <w:noProof/>
                <w:color w:val="000000"/>
                <w:sz w:val="21"/>
                <w:szCs w:val="21"/>
              </w:rPr>
              <w:t>(dodaj/usuń)</w:t>
            </w:r>
            <w:r w:rsidRPr="00FE1A39">
              <w:rPr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</w:tcPr>
          <w:p w14:paraId="62A37B4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34BDC14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shd w:val="clear" w:color="auto" w:fill="FFFFFF" w:themeFill="background1"/>
          </w:tcPr>
          <w:p w14:paraId="6EAD13F0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gridSpan w:val="2"/>
            <w:shd w:val="clear" w:color="auto" w:fill="FFFFFF" w:themeFill="background1"/>
          </w:tcPr>
          <w:p w14:paraId="00E2D926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  <w:gridSpan w:val="5"/>
            <w:shd w:val="clear" w:color="auto" w:fill="FFFFFF" w:themeFill="background1"/>
          </w:tcPr>
          <w:p w14:paraId="19B13D21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shd w:val="clear" w:color="auto" w:fill="FFFFFF" w:themeFill="background1"/>
          </w:tcPr>
          <w:p w14:paraId="3F82E8E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1C2E3AC1" w14:textId="77777777" w:rsidR="008C0A5D" w:rsidRPr="00FE1A39" w:rsidRDefault="008C0A5D" w:rsidP="00125B4B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</w:p>
        </w:tc>
      </w:tr>
      <w:tr w:rsidR="008C0A5D" w:rsidRPr="00FE1A39" w14:paraId="636B6236" w14:textId="77777777" w:rsidTr="00484D74">
        <w:trPr>
          <w:gridAfter w:val="1"/>
          <w:wAfter w:w="7" w:type="dxa"/>
          <w:trHeight w:val="142"/>
        </w:trPr>
        <w:tc>
          <w:tcPr>
            <w:tcW w:w="880" w:type="dxa"/>
            <w:vMerge w:val="restart"/>
            <w:shd w:val="clear" w:color="auto" w:fill="FFFFFF" w:themeFill="background1"/>
          </w:tcPr>
          <w:p w14:paraId="3091C1A8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2BF042C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8498" w:type="dxa"/>
            <w:gridSpan w:val="17"/>
            <w:shd w:val="clear" w:color="auto" w:fill="FFFFFF" w:themeFill="background1"/>
          </w:tcPr>
          <w:p w14:paraId="55100A63" w14:textId="77777777" w:rsidR="008C0A5D" w:rsidRPr="00E000B2" w:rsidRDefault="008C0A5D" w:rsidP="00125B4B">
            <w:pPr>
              <w:spacing w:line="240" w:lineRule="auto"/>
            </w:pPr>
            <w:r w:rsidRPr="00977654">
              <w:t>Proponowane przepisy umożliwią dostęp do usługi umożliwiającej opłaty na rzecz administracji oraz zapewnią ułatwienia w załatwieniu spraw urzędowych w formie mobilnej, korzystaniu bezkontaktowo lub zdalnie</w:t>
            </w:r>
            <w:r>
              <w:t>.</w:t>
            </w:r>
          </w:p>
        </w:tc>
      </w:tr>
      <w:tr w:rsidR="008C0A5D" w:rsidRPr="00FE1A39" w14:paraId="153437B1" w14:textId="77777777" w:rsidTr="00484D74">
        <w:trPr>
          <w:gridAfter w:val="1"/>
          <w:wAfter w:w="7" w:type="dxa"/>
          <w:trHeight w:val="142"/>
        </w:trPr>
        <w:tc>
          <w:tcPr>
            <w:tcW w:w="880" w:type="dxa"/>
            <w:vMerge/>
          </w:tcPr>
          <w:p w14:paraId="29A3A130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56B73AD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8498" w:type="dxa"/>
            <w:gridSpan w:val="17"/>
            <w:shd w:val="clear" w:color="auto" w:fill="FFFFFF" w:themeFill="background1"/>
          </w:tcPr>
          <w:p w14:paraId="06416109" w14:textId="77777777" w:rsidR="008C0A5D" w:rsidRPr="00E000B2" w:rsidRDefault="008C0A5D" w:rsidP="00125B4B">
            <w:pPr>
              <w:spacing w:line="240" w:lineRule="auto"/>
            </w:pPr>
            <w:r w:rsidRPr="00977654">
              <w:t>Proponowane przepisy umożliwią dostęp do usługi umożliwiającej opłaty na rzecz administracji oraz zapewnią ułatwienia w załatwieniu spraw urzędowych w formie mobilnej, korzystaniu bezkontaktowo lub zdalnie</w:t>
            </w:r>
            <w:r>
              <w:t>.</w:t>
            </w:r>
          </w:p>
        </w:tc>
      </w:tr>
      <w:tr w:rsidR="008C0A5D" w:rsidRPr="00FE1A39" w14:paraId="06BA609C" w14:textId="77777777" w:rsidTr="00484D74">
        <w:trPr>
          <w:gridAfter w:val="1"/>
          <w:wAfter w:w="7" w:type="dxa"/>
          <w:trHeight w:val="596"/>
        </w:trPr>
        <w:tc>
          <w:tcPr>
            <w:tcW w:w="880" w:type="dxa"/>
            <w:vMerge/>
          </w:tcPr>
          <w:p w14:paraId="0F49353B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68BC731" w14:textId="77777777" w:rsidR="008C0A5D" w:rsidRPr="00FE1A39" w:rsidRDefault="008C0A5D" w:rsidP="00125B4B">
            <w:pPr>
              <w:tabs>
                <w:tab w:val="right" w:pos="1936"/>
              </w:tabs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sz w:val="21"/>
                <w:szCs w:val="21"/>
              </w:rPr>
              <w:t>rodzina, obywatele oraz gospodarstwa domowe, osoby starsze</w:t>
            </w:r>
          </w:p>
        </w:tc>
        <w:tc>
          <w:tcPr>
            <w:tcW w:w="8498" w:type="dxa"/>
            <w:gridSpan w:val="17"/>
            <w:shd w:val="clear" w:color="auto" w:fill="FFFFFF" w:themeFill="background1"/>
          </w:tcPr>
          <w:p w14:paraId="3B656377" w14:textId="77777777" w:rsidR="008C0A5D" w:rsidRDefault="008C0A5D" w:rsidP="00125B4B">
            <w:pPr>
              <w:spacing w:line="240" w:lineRule="auto"/>
            </w:pPr>
            <w:r>
              <w:t>Proponowane przepisy umożliwią d</w:t>
            </w:r>
            <w:r w:rsidRPr="00E000B2">
              <w:t xml:space="preserve">ostęp </w:t>
            </w:r>
            <w:r>
              <w:t>do usługi umożliwiającej opłaty na rzecz administracji oraz zapewnią u</w:t>
            </w:r>
            <w:r w:rsidRPr="00E000B2">
              <w:t>łatwienia w załatwieniu spraw urzędowych w formie mobilnej, korzystaniu bezkontaktowo lub zdalnie</w:t>
            </w:r>
            <w:r>
              <w:t>.</w:t>
            </w:r>
          </w:p>
          <w:p w14:paraId="3BA59CB4" w14:textId="77777777" w:rsidR="008C0A5D" w:rsidRDefault="008C0A5D" w:rsidP="00125B4B">
            <w:pPr>
              <w:spacing w:line="240" w:lineRule="auto"/>
            </w:pPr>
          </w:p>
          <w:p w14:paraId="5B798260" w14:textId="77777777" w:rsidR="008C0A5D" w:rsidRDefault="008C0A5D" w:rsidP="00125B4B">
            <w:pPr>
              <w:shd w:val="clear" w:color="auto" w:fill="FFFFFF" w:themeFill="background1"/>
              <w:suppressAutoHyphens/>
              <w:spacing w:line="240" w:lineRule="auto"/>
              <w:contextualSpacing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Korzyścią dla obywateli z wdrożenia usługi ePłatności jest przede wszystkim dostęp do informacji o należnościach w ramach jednej aplikacji i możliwość bezprowizyjnego dokonania opłat.</w:t>
            </w:r>
          </w:p>
          <w:p w14:paraId="5F8B86AC" w14:textId="77777777" w:rsidR="008C0A5D" w:rsidRPr="00E000B2" w:rsidRDefault="008C0A5D" w:rsidP="00125B4B">
            <w:pPr>
              <w:spacing w:line="240" w:lineRule="auto"/>
            </w:pPr>
          </w:p>
        </w:tc>
      </w:tr>
      <w:tr w:rsidR="008C0A5D" w:rsidRPr="00FE1A39" w14:paraId="211EEB7F" w14:textId="77777777" w:rsidTr="00484D74">
        <w:trPr>
          <w:gridAfter w:val="1"/>
          <w:wAfter w:w="7" w:type="dxa"/>
          <w:trHeight w:val="240"/>
        </w:trPr>
        <w:tc>
          <w:tcPr>
            <w:tcW w:w="880" w:type="dxa"/>
            <w:vMerge/>
          </w:tcPr>
          <w:p w14:paraId="3718F845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53F9405D" w14:textId="77777777" w:rsidR="008C0A5D" w:rsidRPr="00FE1A39" w:rsidRDefault="008C0A5D" w:rsidP="00125B4B">
            <w:pPr>
              <w:tabs>
                <w:tab w:val="right" w:pos="1936"/>
              </w:tabs>
              <w:rPr>
                <w:sz w:val="21"/>
                <w:szCs w:val="21"/>
              </w:rPr>
            </w:pPr>
            <w:r w:rsidRPr="00FE1A39">
              <w:rPr>
                <w:sz w:val="21"/>
                <w:szCs w:val="21"/>
              </w:rPr>
              <w:t>Podmioty, tj. zrzeszenia, związki zawodowe,</w:t>
            </w:r>
          </w:p>
        </w:tc>
        <w:tc>
          <w:tcPr>
            <w:tcW w:w="8498" w:type="dxa"/>
            <w:gridSpan w:val="17"/>
            <w:shd w:val="clear" w:color="auto" w:fill="FFFFFF" w:themeFill="background1"/>
          </w:tcPr>
          <w:p w14:paraId="1C270CB3" w14:textId="77777777" w:rsidR="008C0A5D" w:rsidRPr="00E000B2" w:rsidRDefault="008C0A5D" w:rsidP="00125B4B">
            <w:pPr>
              <w:spacing w:line="240" w:lineRule="auto"/>
            </w:pPr>
          </w:p>
        </w:tc>
      </w:tr>
      <w:tr w:rsidR="008C0A5D" w:rsidRPr="00FE1A39" w14:paraId="5BB2154B" w14:textId="77777777" w:rsidTr="00484D74">
        <w:trPr>
          <w:gridAfter w:val="1"/>
          <w:wAfter w:w="7" w:type="dxa"/>
          <w:trHeight w:val="142"/>
        </w:trPr>
        <w:tc>
          <w:tcPr>
            <w:tcW w:w="880" w:type="dxa"/>
            <w:vMerge w:val="restart"/>
            <w:shd w:val="clear" w:color="auto" w:fill="FFFFFF" w:themeFill="background1"/>
          </w:tcPr>
          <w:p w14:paraId="3A3D3104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588E440A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FE1A39">
              <w:rPr>
                <w:color w:val="000000"/>
                <w:sz w:val="21"/>
                <w:szCs w:val="21"/>
              </w:rPr>
              <w:instrText xml:space="preserve"> FORMTEXT </w:instrText>
            </w:r>
            <w:r w:rsidRPr="00FE1A39">
              <w:rPr>
                <w:color w:val="000000"/>
                <w:sz w:val="21"/>
                <w:szCs w:val="21"/>
              </w:rPr>
            </w:r>
            <w:r w:rsidRPr="00FE1A39">
              <w:rPr>
                <w:color w:val="000000"/>
                <w:sz w:val="21"/>
                <w:szCs w:val="21"/>
              </w:rPr>
              <w:fldChar w:fldCharType="separate"/>
            </w:r>
            <w:r w:rsidRPr="00FE1A39">
              <w:rPr>
                <w:noProof/>
                <w:color w:val="000000"/>
                <w:sz w:val="21"/>
                <w:szCs w:val="21"/>
              </w:rPr>
              <w:t>(dodaj/usuń)</w:t>
            </w:r>
            <w:r w:rsidRPr="00FE1A39">
              <w:rPr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8498" w:type="dxa"/>
            <w:gridSpan w:val="17"/>
            <w:shd w:val="clear" w:color="auto" w:fill="FFFFFF" w:themeFill="background1"/>
          </w:tcPr>
          <w:p w14:paraId="64D50873" w14:textId="77777777" w:rsidR="008C0A5D" w:rsidRPr="00FE1A39" w:rsidRDefault="008C0A5D" w:rsidP="00125B4B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</w:p>
        </w:tc>
      </w:tr>
      <w:tr w:rsidR="008C0A5D" w:rsidRPr="00FE1A39" w14:paraId="1AF8C74C" w14:textId="77777777" w:rsidTr="00484D74">
        <w:trPr>
          <w:gridAfter w:val="1"/>
          <w:wAfter w:w="7" w:type="dxa"/>
          <w:trHeight w:val="142"/>
        </w:trPr>
        <w:tc>
          <w:tcPr>
            <w:tcW w:w="880" w:type="dxa"/>
            <w:vMerge/>
          </w:tcPr>
          <w:p w14:paraId="59E7BF34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A9F0961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FE1A39">
              <w:rPr>
                <w:color w:val="000000"/>
                <w:sz w:val="21"/>
                <w:szCs w:val="21"/>
              </w:rPr>
              <w:instrText xml:space="preserve"> FORMTEXT </w:instrText>
            </w:r>
            <w:r w:rsidRPr="00FE1A39">
              <w:rPr>
                <w:color w:val="000000"/>
                <w:sz w:val="21"/>
                <w:szCs w:val="21"/>
              </w:rPr>
            </w:r>
            <w:r w:rsidRPr="00FE1A39">
              <w:rPr>
                <w:color w:val="000000"/>
                <w:sz w:val="21"/>
                <w:szCs w:val="21"/>
              </w:rPr>
              <w:fldChar w:fldCharType="separate"/>
            </w:r>
            <w:r w:rsidRPr="00FE1A39">
              <w:rPr>
                <w:noProof/>
                <w:color w:val="000000"/>
                <w:sz w:val="21"/>
                <w:szCs w:val="21"/>
              </w:rPr>
              <w:t>(dodaj/usuń)</w:t>
            </w:r>
            <w:r w:rsidRPr="00FE1A39">
              <w:rPr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8498" w:type="dxa"/>
            <w:gridSpan w:val="17"/>
            <w:shd w:val="clear" w:color="auto" w:fill="FFFFFF" w:themeFill="background1"/>
          </w:tcPr>
          <w:p w14:paraId="32379FC3" w14:textId="77777777" w:rsidR="008C0A5D" w:rsidRPr="00FE1A39" w:rsidRDefault="008C0A5D" w:rsidP="00125B4B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</w:p>
        </w:tc>
      </w:tr>
      <w:tr w:rsidR="008C0A5D" w:rsidRPr="00FE1A39" w14:paraId="11273112" w14:textId="77777777" w:rsidTr="00484D74">
        <w:trPr>
          <w:trHeight w:val="1195"/>
        </w:trPr>
        <w:tc>
          <w:tcPr>
            <w:tcW w:w="1731" w:type="dxa"/>
            <w:gridSpan w:val="2"/>
            <w:shd w:val="clear" w:color="auto" w:fill="FFFFFF" w:themeFill="background1"/>
          </w:tcPr>
          <w:p w14:paraId="55025EB6" w14:textId="77777777" w:rsidR="008C0A5D" w:rsidRPr="00FE1A39" w:rsidRDefault="008C0A5D" w:rsidP="00125B4B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FE1A39">
              <w:rPr>
                <w:color w:val="000000"/>
                <w:sz w:val="21"/>
                <w:szCs w:val="21"/>
              </w:rPr>
              <w:lastRenderedPageBreak/>
              <w:t xml:space="preserve">Dodatkowe informacje, w tym wskazanie źródeł danych i przyjętych do obliczeń założeń </w:t>
            </w:r>
          </w:p>
        </w:tc>
        <w:tc>
          <w:tcPr>
            <w:tcW w:w="9072" w:type="dxa"/>
            <w:gridSpan w:val="19"/>
            <w:shd w:val="clear" w:color="auto" w:fill="FFFFFF" w:themeFill="background1"/>
            <w:vAlign w:val="center"/>
          </w:tcPr>
          <w:p w14:paraId="56F85D7C" w14:textId="77777777" w:rsidR="008C0A5D" w:rsidRPr="00FE1A39" w:rsidRDefault="008C0A5D" w:rsidP="00125B4B">
            <w:pPr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8C0A5D" w:rsidRPr="00FE1A39" w14:paraId="3037610E" w14:textId="77777777" w:rsidTr="00484D74">
        <w:trPr>
          <w:gridAfter w:val="1"/>
          <w:wAfter w:w="7" w:type="dxa"/>
          <w:trHeight w:val="342"/>
        </w:trPr>
        <w:tc>
          <w:tcPr>
            <w:tcW w:w="10796" w:type="dxa"/>
            <w:gridSpan w:val="20"/>
            <w:shd w:val="clear" w:color="auto" w:fill="99CCFF"/>
            <w:vAlign w:val="center"/>
          </w:tcPr>
          <w:p w14:paraId="27923CE8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8C0A5D" w:rsidRPr="00FE1A39" w14:paraId="4388B572" w14:textId="77777777" w:rsidTr="00484D74">
        <w:trPr>
          <w:gridAfter w:val="1"/>
          <w:wAfter w:w="7" w:type="dxa"/>
          <w:trHeight w:val="151"/>
        </w:trPr>
        <w:tc>
          <w:tcPr>
            <w:tcW w:w="10796" w:type="dxa"/>
            <w:gridSpan w:val="20"/>
            <w:shd w:val="clear" w:color="auto" w:fill="FFFFFF" w:themeFill="background1"/>
          </w:tcPr>
          <w:p w14:paraId="57932895" w14:textId="77777777" w:rsidR="008C0A5D" w:rsidRPr="00FE1A39" w:rsidRDefault="00000000" w:rsidP="00125B4B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  <w:spacing w:val="-2"/>
                </w:rPr>
                <w:id w:val="193099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  <w:spacing w:val="-2"/>
                  </w:rPr>
                  <w:t>☐</w:t>
                </w:r>
              </w:sdtContent>
            </w:sdt>
            <w:r w:rsidR="008C0A5D" w:rsidRPr="00FE1A39">
              <w:rPr>
                <w:color w:val="000000"/>
                <w:spacing w:val="-2"/>
              </w:rPr>
              <w:t xml:space="preserve"> nie dotyczy</w:t>
            </w:r>
          </w:p>
        </w:tc>
      </w:tr>
      <w:tr w:rsidR="008C0A5D" w:rsidRPr="00FE1A39" w14:paraId="50DF8B2F" w14:textId="77777777" w:rsidTr="00484D74">
        <w:trPr>
          <w:gridAfter w:val="1"/>
          <w:wAfter w:w="7" w:type="dxa"/>
          <w:trHeight w:val="946"/>
        </w:trPr>
        <w:tc>
          <w:tcPr>
            <w:tcW w:w="3006" w:type="dxa"/>
            <w:gridSpan w:val="4"/>
            <w:shd w:val="clear" w:color="auto" w:fill="FFFFFF" w:themeFill="background1"/>
          </w:tcPr>
          <w:p w14:paraId="6EA59DAB" w14:textId="77777777" w:rsidR="008C0A5D" w:rsidRPr="00FE1A39" w:rsidRDefault="008C0A5D" w:rsidP="00125B4B">
            <w:pPr>
              <w:rPr>
                <w:color w:val="000000"/>
                <w:spacing w:val="-2"/>
              </w:rPr>
            </w:pPr>
            <w:r w:rsidRPr="00FE1A39">
              <w:rPr>
                <w:color w:val="000000"/>
                <w:spacing w:val="-2"/>
              </w:rPr>
              <w:t xml:space="preserve">Wprowadzane są obciążenia poza bezwzględnie wymaganymi przez UE </w:t>
            </w:r>
            <w:r w:rsidRPr="00FE1A39">
              <w:rPr>
                <w:color w:val="000000"/>
              </w:rPr>
              <w:t>(szczegóły w odwróconej tabeli zgodności).</w:t>
            </w:r>
          </w:p>
        </w:tc>
        <w:tc>
          <w:tcPr>
            <w:tcW w:w="7790" w:type="dxa"/>
            <w:gridSpan w:val="16"/>
            <w:shd w:val="clear" w:color="auto" w:fill="FFFFFF" w:themeFill="background1"/>
          </w:tcPr>
          <w:p w14:paraId="629E9F5B" w14:textId="77777777" w:rsidR="008C0A5D" w:rsidRPr="00FE1A39" w:rsidRDefault="00000000" w:rsidP="00125B4B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5014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8C0A5D" w:rsidRPr="00FE1A39">
              <w:rPr>
                <w:color w:val="000000"/>
              </w:rPr>
              <w:t xml:space="preserve"> tak</w:t>
            </w:r>
          </w:p>
          <w:p w14:paraId="7A54582C" w14:textId="77777777" w:rsidR="008C0A5D" w:rsidRPr="00FE1A39" w:rsidRDefault="00000000" w:rsidP="00125B4B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740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8C0A5D" w:rsidRPr="00FE1A39">
              <w:rPr>
                <w:color w:val="000000"/>
              </w:rPr>
              <w:t xml:space="preserve"> nie</w:t>
            </w:r>
          </w:p>
          <w:p w14:paraId="10C78254" w14:textId="77777777" w:rsidR="008C0A5D" w:rsidRPr="00FE1A39" w:rsidRDefault="00000000" w:rsidP="00125B4B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351533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</w:rPr>
                  <w:t>☒</w:t>
                </w:r>
              </w:sdtContent>
            </w:sdt>
            <w:r w:rsidR="008C0A5D" w:rsidRPr="00FE1A39">
              <w:rPr>
                <w:color w:val="000000"/>
              </w:rPr>
              <w:t xml:space="preserve"> nie dotyczy</w:t>
            </w:r>
          </w:p>
        </w:tc>
      </w:tr>
      <w:tr w:rsidR="008C0A5D" w:rsidRPr="00FE1A39" w14:paraId="13181CB6" w14:textId="77777777" w:rsidTr="00484D74">
        <w:trPr>
          <w:gridAfter w:val="1"/>
          <w:wAfter w:w="7" w:type="dxa"/>
          <w:trHeight w:val="1245"/>
        </w:trPr>
        <w:tc>
          <w:tcPr>
            <w:tcW w:w="3006" w:type="dxa"/>
            <w:gridSpan w:val="4"/>
            <w:shd w:val="clear" w:color="auto" w:fill="FFFFFF" w:themeFill="background1"/>
          </w:tcPr>
          <w:p w14:paraId="2AEB6C88" w14:textId="77777777" w:rsidR="008C0A5D" w:rsidRPr="00FE1A39" w:rsidRDefault="00000000" w:rsidP="00125B4B">
            <w:pPr>
              <w:spacing w:line="240" w:lineRule="auto"/>
              <w:rPr>
                <w:color w:val="000000"/>
                <w:spacing w:val="-2"/>
              </w:rPr>
            </w:pPr>
            <w:sdt>
              <w:sdtPr>
                <w:rPr>
                  <w:color w:val="000000"/>
                  <w:spacing w:val="-2"/>
                </w:rPr>
                <w:id w:val="-1646118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  <w:spacing w:val="-2"/>
                  </w:rPr>
                  <w:t>☒</w:t>
                </w:r>
              </w:sdtContent>
            </w:sdt>
            <w:r w:rsidR="008C0A5D" w:rsidRPr="00FE1A39">
              <w:rPr>
                <w:color w:val="000000"/>
                <w:spacing w:val="-2"/>
              </w:rPr>
              <w:t xml:space="preserve"> zmniejszenie liczby dokumentów </w:t>
            </w:r>
          </w:p>
          <w:p w14:paraId="24AF6ACF" w14:textId="77777777" w:rsidR="008C0A5D" w:rsidRPr="00FE1A39" w:rsidRDefault="00000000" w:rsidP="00125B4B">
            <w:pPr>
              <w:spacing w:line="240" w:lineRule="auto"/>
              <w:rPr>
                <w:color w:val="000000"/>
                <w:spacing w:val="-2"/>
              </w:rPr>
            </w:pPr>
            <w:sdt>
              <w:sdtPr>
                <w:rPr>
                  <w:color w:val="000000"/>
                  <w:spacing w:val="-2"/>
                </w:rPr>
                <w:id w:val="18765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  <w:spacing w:val="-2"/>
                  </w:rPr>
                  <w:t>☐</w:t>
                </w:r>
              </w:sdtContent>
            </w:sdt>
            <w:r w:rsidR="008C0A5D" w:rsidRPr="00FE1A39">
              <w:rPr>
                <w:color w:val="000000"/>
                <w:spacing w:val="-2"/>
              </w:rPr>
              <w:t xml:space="preserve"> zmniejszenie liczby procedur</w:t>
            </w:r>
          </w:p>
          <w:p w14:paraId="78A15306" w14:textId="77777777" w:rsidR="008C0A5D" w:rsidRPr="00FE1A39" w:rsidRDefault="00000000" w:rsidP="00125B4B">
            <w:pPr>
              <w:spacing w:line="240" w:lineRule="auto"/>
              <w:rPr>
                <w:color w:val="000000"/>
                <w:spacing w:val="-2"/>
              </w:rPr>
            </w:pPr>
            <w:sdt>
              <w:sdtPr>
                <w:rPr>
                  <w:color w:val="000000"/>
                  <w:spacing w:val="-2"/>
                </w:rPr>
                <w:id w:val="-2082051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  <w:spacing w:val="-2"/>
                  </w:rPr>
                  <w:t>☒</w:t>
                </w:r>
              </w:sdtContent>
            </w:sdt>
            <w:r w:rsidR="008C0A5D" w:rsidRPr="00FE1A39">
              <w:rPr>
                <w:color w:val="000000"/>
                <w:spacing w:val="-2"/>
              </w:rPr>
              <w:t xml:space="preserve"> skrócenie czasu na załatwienie sprawy</w:t>
            </w:r>
          </w:p>
          <w:p w14:paraId="5FFB067D" w14:textId="77777777" w:rsidR="008C0A5D" w:rsidRPr="00FE1A39" w:rsidRDefault="00000000" w:rsidP="00125B4B">
            <w:pPr>
              <w:rPr>
                <w:b/>
                <w:color w:val="000000"/>
                <w:spacing w:val="-2"/>
              </w:rPr>
            </w:pPr>
            <w:sdt>
              <w:sdtPr>
                <w:rPr>
                  <w:color w:val="000000"/>
                  <w:spacing w:val="-2"/>
                </w:rPr>
                <w:id w:val="21125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  <w:spacing w:val="-2"/>
                  </w:rPr>
                  <w:t>☐</w:t>
                </w:r>
              </w:sdtContent>
            </w:sdt>
            <w:r w:rsidR="008C0A5D" w:rsidRPr="00FE1A39">
              <w:rPr>
                <w:color w:val="000000"/>
                <w:spacing w:val="-2"/>
              </w:rPr>
              <w:t xml:space="preserve"> inne:</w:t>
            </w:r>
            <w:r w:rsidR="008C0A5D" w:rsidRPr="00FE1A39">
              <w:rPr>
                <w:color w:val="000000"/>
              </w:rPr>
              <w:t xml:space="preserve"> …</w:t>
            </w:r>
          </w:p>
        </w:tc>
        <w:tc>
          <w:tcPr>
            <w:tcW w:w="7790" w:type="dxa"/>
            <w:gridSpan w:val="16"/>
            <w:shd w:val="clear" w:color="auto" w:fill="FFFFFF" w:themeFill="background1"/>
          </w:tcPr>
          <w:p w14:paraId="3C34C63F" w14:textId="77777777" w:rsidR="008C0A5D" w:rsidRPr="00FE1A39" w:rsidRDefault="00000000" w:rsidP="00125B4B">
            <w:pPr>
              <w:spacing w:line="240" w:lineRule="auto"/>
              <w:rPr>
                <w:color w:val="000000"/>
                <w:spacing w:val="-2"/>
              </w:rPr>
            </w:pPr>
            <w:sdt>
              <w:sdtPr>
                <w:rPr>
                  <w:color w:val="000000"/>
                  <w:spacing w:val="-2"/>
                </w:rPr>
                <w:id w:val="21049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  <w:spacing w:val="-2"/>
                  </w:rPr>
                  <w:t>☐</w:t>
                </w:r>
              </w:sdtContent>
            </w:sdt>
            <w:r w:rsidR="008C0A5D" w:rsidRPr="00FE1A39">
              <w:rPr>
                <w:color w:val="000000"/>
                <w:spacing w:val="-2"/>
              </w:rPr>
              <w:t xml:space="preserve"> zwiększenie liczby dokumentów</w:t>
            </w:r>
          </w:p>
          <w:p w14:paraId="4FA63AC0" w14:textId="77777777" w:rsidR="008C0A5D" w:rsidRPr="00FE1A39" w:rsidRDefault="00000000" w:rsidP="00125B4B">
            <w:pPr>
              <w:spacing w:line="240" w:lineRule="auto"/>
              <w:rPr>
                <w:color w:val="000000"/>
                <w:spacing w:val="-2"/>
              </w:rPr>
            </w:pPr>
            <w:sdt>
              <w:sdtPr>
                <w:rPr>
                  <w:color w:val="000000"/>
                </w:rPr>
                <w:id w:val="7624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8C0A5D" w:rsidRPr="00FE1A39">
              <w:rPr>
                <w:color w:val="000000"/>
              </w:rPr>
              <w:t xml:space="preserve"> </w:t>
            </w:r>
            <w:r w:rsidR="008C0A5D" w:rsidRPr="00FE1A39">
              <w:rPr>
                <w:color w:val="000000"/>
                <w:spacing w:val="-2"/>
              </w:rPr>
              <w:t>zwiększenie liczby procedur</w:t>
            </w:r>
          </w:p>
          <w:p w14:paraId="3728A5C0" w14:textId="77777777" w:rsidR="008C0A5D" w:rsidRPr="00FE1A39" w:rsidRDefault="00000000" w:rsidP="00125B4B">
            <w:pPr>
              <w:spacing w:line="240" w:lineRule="auto"/>
              <w:rPr>
                <w:color w:val="000000"/>
                <w:spacing w:val="-2"/>
              </w:rPr>
            </w:pPr>
            <w:sdt>
              <w:sdtPr>
                <w:rPr>
                  <w:color w:val="000000"/>
                  <w:spacing w:val="-2"/>
                </w:rPr>
                <w:id w:val="-357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  <w:spacing w:val="-2"/>
                  </w:rPr>
                  <w:t>☐</w:t>
                </w:r>
              </w:sdtContent>
            </w:sdt>
            <w:r w:rsidR="008C0A5D" w:rsidRPr="00FE1A39">
              <w:rPr>
                <w:color w:val="000000"/>
                <w:spacing w:val="-2"/>
              </w:rPr>
              <w:t xml:space="preserve"> wydłużenie czasu na załatwienie sprawy</w:t>
            </w:r>
          </w:p>
          <w:p w14:paraId="2D6B93F6" w14:textId="77777777" w:rsidR="008C0A5D" w:rsidRPr="00FE1A39" w:rsidRDefault="00000000" w:rsidP="00125B4B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  <w:spacing w:val="-2"/>
                </w:rPr>
                <w:id w:val="11495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  <w:spacing w:val="-2"/>
                  </w:rPr>
                  <w:t>☐</w:t>
                </w:r>
              </w:sdtContent>
            </w:sdt>
            <w:r w:rsidR="008C0A5D" w:rsidRPr="00FE1A39">
              <w:rPr>
                <w:color w:val="000000"/>
                <w:spacing w:val="-2"/>
              </w:rPr>
              <w:t xml:space="preserve"> inne:</w:t>
            </w:r>
            <w:r w:rsidR="008C0A5D" w:rsidRPr="00FE1A39">
              <w:rPr>
                <w:color w:val="000000"/>
              </w:rPr>
              <w:t xml:space="preserve"> …</w:t>
            </w:r>
          </w:p>
        </w:tc>
      </w:tr>
      <w:tr w:rsidR="008C0A5D" w:rsidRPr="00FE1A39" w14:paraId="15E79DF2" w14:textId="77777777" w:rsidTr="00484D74">
        <w:trPr>
          <w:gridAfter w:val="1"/>
          <w:wAfter w:w="7" w:type="dxa"/>
          <w:trHeight w:val="870"/>
        </w:trPr>
        <w:tc>
          <w:tcPr>
            <w:tcW w:w="3006" w:type="dxa"/>
            <w:gridSpan w:val="4"/>
            <w:shd w:val="clear" w:color="auto" w:fill="FFFFFF" w:themeFill="background1"/>
          </w:tcPr>
          <w:p w14:paraId="1F122B84" w14:textId="77777777" w:rsidR="008C0A5D" w:rsidRPr="00FE1A39" w:rsidRDefault="008C0A5D" w:rsidP="00125B4B">
            <w:pPr>
              <w:spacing w:line="240" w:lineRule="auto"/>
              <w:rPr>
                <w:color w:val="000000"/>
              </w:rPr>
            </w:pPr>
            <w:r w:rsidRPr="00FE1A39">
              <w:rPr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7790" w:type="dxa"/>
            <w:gridSpan w:val="16"/>
            <w:shd w:val="clear" w:color="auto" w:fill="FFFFFF" w:themeFill="background1"/>
          </w:tcPr>
          <w:p w14:paraId="171C1FAD" w14:textId="77777777" w:rsidR="008C0A5D" w:rsidRPr="00FE1A39" w:rsidRDefault="00000000" w:rsidP="00125B4B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2972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8C0A5D" w:rsidRPr="00FE1A39">
              <w:rPr>
                <w:color w:val="000000"/>
              </w:rPr>
              <w:t xml:space="preserve"> tak</w:t>
            </w:r>
          </w:p>
          <w:p w14:paraId="2CF7F695" w14:textId="77777777" w:rsidR="008C0A5D" w:rsidRPr="00FE1A39" w:rsidRDefault="00000000" w:rsidP="00125B4B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8702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8C0A5D" w:rsidRPr="00FE1A39">
              <w:rPr>
                <w:color w:val="000000"/>
              </w:rPr>
              <w:t xml:space="preserve"> nie</w:t>
            </w:r>
          </w:p>
          <w:p w14:paraId="3FBB7796" w14:textId="77777777" w:rsidR="008C0A5D" w:rsidRPr="00FE1A39" w:rsidRDefault="00000000" w:rsidP="00125B4B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04862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C0A5D" w:rsidRPr="00FE1A39">
                  <w:rPr>
                    <w:rFonts w:ascii="Segoe UI Symbol" w:eastAsia="MS Gothic" w:hAnsi="Segoe UI Symbol" w:cs="Segoe UI Symbol"/>
                    <w:color w:val="000000"/>
                  </w:rPr>
                  <w:t>☒</w:t>
                </w:r>
              </w:sdtContent>
            </w:sdt>
            <w:r w:rsidR="008C0A5D" w:rsidRPr="00FE1A39">
              <w:rPr>
                <w:color w:val="000000"/>
              </w:rPr>
              <w:t xml:space="preserve"> nie dotyczy</w:t>
            </w:r>
          </w:p>
        </w:tc>
      </w:tr>
      <w:tr w:rsidR="008C0A5D" w:rsidRPr="00FE1A39" w14:paraId="58A90973" w14:textId="77777777" w:rsidTr="00484D74">
        <w:trPr>
          <w:gridAfter w:val="1"/>
          <w:wAfter w:w="7" w:type="dxa"/>
          <w:trHeight w:val="630"/>
        </w:trPr>
        <w:tc>
          <w:tcPr>
            <w:tcW w:w="10796" w:type="dxa"/>
            <w:gridSpan w:val="20"/>
            <w:shd w:val="clear" w:color="auto" w:fill="FFFFFF" w:themeFill="background1"/>
          </w:tcPr>
          <w:p w14:paraId="71A30854" w14:textId="77777777" w:rsidR="008C0A5D" w:rsidRPr="00FE1A39" w:rsidRDefault="008C0A5D" w:rsidP="00125B4B">
            <w:pPr>
              <w:spacing w:line="240" w:lineRule="auto"/>
              <w:jc w:val="both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t>Komentarz:</w:t>
            </w:r>
          </w:p>
          <w:p w14:paraId="1683804B" w14:textId="77777777" w:rsidR="008C0A5D" w:rsidRDefault="008C0A5D" w:rsidP="00125B4B">
            <w:pPr>
              <w:spacing w:line="240" w:lineRule="auto"/>
              <w:jc w:val="both"/>
              <w:rPr>
                <w:color w:val="000000"/>
              </w:rPr>
            </w:pPr>
            <w:r w:rsidRPr="00FE1A39">
              <w:rPr>
                <w:color w:val="000000"/>
              </w:rPr>
              <w:t xml:space="preserve">W związku z wejściem w życie projektowanej ustawy obywatele będą mieli możliwość </w:t>
            </w:r>
            <w:r>
              <w:rPr>
                <w:color w:val="000000"/>
              </w:rPr>
              <w:t>zrealizowania opłaty na rzecz administracji bezgotówkowo. Dodanie kolejnej możliwości realizacji opłat bezgotówkowych na rzecz administracji wpłynie pozytywnie na szybkość załatwienia spraw urzędowych.</w:t>
            </w:r>
          </w:p>
          <w:p w14:paraId="4DDD87CD" w14:textId="77777777" w:rsidR="008C0A5D" w:rsidRDefault="008C0A5D" w:rsidP="00125B4B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Podmioty publiczne, w tym JST, uzyskają automatyzację procesów związanych z dokonywaniem płatności, poprawienie ściągalności należności. </w:t>
            </w:r>
          </w:p>
          <w:p w14:paraId="46AF930C" w14:textId="77777777" w:rsidR="008C0A5D" w:rsidRPr="00FE1A39" w:rsidRDefault="008C0A5D" w:rsidP="00125B4B">
            <w:pPr>
              <w:spacing w:line="240" w:lineRule="auto"/>
              <w:jc w:val="both"/>
              <w:rPr>
                <w:color w:val="000000"/>
              </w:rPr>
            </w:pPr>
          </w:p>
        </w:tc>
      </w:tr>
      <w:tr w:rsidR="008C0A5D" w:rsidRPr="00FE1A39" w14:paraId="0F9AE263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99CCFF"/>
          </w:tcPr>
          <w:p w14:paraId="67DC75AA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jc w:val="both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t xml:space="preserve">Wpływ na rynek pracy </w:t>
            </w:r>
          </w:p>
        </w:tc>
      </w:tr>
      <w:tr w:rsidR="008C0A5D" w:rsidRPr="00FE1A39" w14:paraId="431D89E3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</w:tcPr>
          <w:p w14:paraId="43EBAB75" w14:textId="77777777" w:rsidR="008C0A5D" w:rsidRPr="00FE1A39" w:rsidRDefault="008C0A5D" w:rsidP="00125B4B">
            <w:pPr>
              <w:spacing w:line="240" w:lineRule="auto"/>
              <w:jc w:val="both"/>
              <w:rPr>
                <w:color w:val="000000"/>
              </w:rPr>
            </w:pPr>
            <w:r w:rsidRPr="00FE1A39">
              <w:rPr>
                <w:color w:val="000000"/>
              </w:rPr>
              <w:t>Projektowana ustawa nie ma wpływu na rynek pracy.</w:t>
            </w:r>
          </w:p>
        </w:tc>
      </w:tr>
      <w:tr w:rsidR="008C0A5D" w:rsidRPr="00FE1A39" w14:paraId="24803A81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99CCFF"/>
          </w:tcPr>
          <w:p w14:paraId="5F3F8FE5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jc w:val="both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t>Wpływ na pozostałe obszary</w:t>
            </w:r>
          </w:p>
        </w:tc>
      </w:tr>
      <w:tr w:rsidR="008C0A5D" w:rsidRPr="00FE1A39" w14:paraId="36B367D7" w14:textId="77777777" w:rsidTr="00484D74">
        <w:trPr>
          <w:trHeight w:val="1031"/>
        </w:trPr>
        <w:tc>
          <w:tcPr>
            <w:tcW w:w="1731" w:type="dxa"/>
            <w:gridSpan w:val="2"/>
            <w:shd w:val="clear" w:color="auto" w:fill="FFFFFF" w:themeFill="background1"/>
          </w:tcPr>
          <w:p w14:paraId="6651396F" w14:textId="77777777" w:rsidR="008C0A5D" w:rsidRPr="008B4FE6" w:rsidRDefault="008C0A5D" w:rsidP="00125B4B">
            <w:pPr>
              <w:spacing w:line="240" w:lineRule="auto"/>
              <w:rPr>
                <w:color w:val="000000"/>
              </w:rPr>
            </w:pPr>
          </w:p>
          <w:p w14:paraId="5515379B" w14:textId="77777777" w:rsidR="008C0A5D" w:rsidRPr="008B4FE6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Pr="008B4FE6">
              <w:rPr>
                <w:color w:val="000000"/>
              </w:rPr>
            </w:r>
            <w:r w:rsidRPr="008B4FE6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 w:rsidRPr="008B4FE6">
              <w:rPr>
                <w:color w:val="000000"/>
                <w:sz w:val="20"/>
              </w:rPr>
              <w:t xml:space="preserve"> </w:t>
            </w:r>
            <w:r w:rsidRPr="008B4FE6">
              <w:rPr>
                <w:color w:val="000000"/>
                <w:spacing w:val="-2"/>
              </w:rPr>
              <w:t>środowisko naturalne</w:t>
            </w:r>
          </w:p>
          <w:p w14:paraId="2A031ECF" w14:textId="77777777" w:rsidR="008C0A5D" w:rsidRDefault="008C0A5D" w:rsidP="00125B4B">
            <w:pPr>
              <w:spacing w:line="240" w:lineRule="auto"/>
              <w:rPr>
                <w:color w:val="000000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Pr="008B4FE6">
              <w:rPr>
                <w:color w:val="000000"/>
              </w:rPr>
            </w:r>
            <w:r w:rsidRPr="008B4FE6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 w:rsidRPr="008B4FE6">
              <w:rPr>
                <w:color w:val="000000"/>
                <w:sz w:val="20"/>
              </w:rPr>
              <w:t xml:space="preserve"> </w:t>
            </w:r>
            <w:r w:rsidRPr="008B4FE6">
              <w:rPr>
                <w:color w:val="000000"/>
              </w:rPr>
              <w:t>sytuacja i rozwój regionalny</w:t>
            </w:r>
          </w:p>
          <w:p w14:paraId="54C1BB72" w14:textId="77777777" w:rsidR="008C0A5D" w:rsidRPr="00FE1A39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Pr="008B4FE6">
              <w:rPr>
                <w:color w:val="000000"/>
              </w:rPr>
            </w:r>
            <w:r w:rsidRPr="008B4FE6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 w:rsidRPr="008B4FE6">
              <w:rPr>
                <w:color w:val="000000"/>
                <w:sz w:val="20"/>
              </w:rPr>
              <w:t xml:space="preserve"> </w:t>
            </w:r>
            <w:r w:rsidRPr="00D93C2B">
              <w:rPr>
                <w:spacing w:val="-2"/>
              </w:rPr>
              <w:t>sądy powszechne, administracyjne lub wojskowe</w:t>
            </w:r>
          </w:p>
        </w:tc>
        <w:tc>
          <w:tcPr>
            <w:tcW w:w="4110" w:type="dxa"/>
            <w:gridSpan w:val="8"/>
            <w:shd w:val="clear" w:color="auto" w:fill="FFFFFF" w:themeFill="background1"/>
          </w:tcPr>
          <w:p w14:paraId="2740F2DC" w14:textId="77777777" w:rsidR="008C0A5D" w:rsidRPr="008B4FE6" w:rsidRDefault="008C0A5D" w:rsidP="00125B4B">
            <w:pPr>
              <w:spacing w:line="240" w:lineRule="auto"/>
              <w:rPr>
                <w:color w:val="000000"/>
              </w:rPr>
            </w:pPr>
          </w:p>
          <w:p w14:paraId="01B1B1BA" w14:textId="77777777" w:rsidR="008C0A5D" w:rsidRPr="008B4FE6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Pr="008B4FE6">
              <w:rPr>
                <w:color w:val="000000"/>
              </w:rPr>
            </w:r>
            <w:r w:rsidRPr="008B4FE6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 w:rsidRPr="008B4FE6">
              <w:rPr>
                <w:color w:val="000000"/>
                <w:sz w:val="20"/>
              </w:rPr>
              <w:t xml:space="preserve"> </w:t>
            </w:r>
            <w:r w:rsidRPr="008B4FE6">
              <w:rPr>
                <w:color w:val="000000"/>
                <w:spacing w:val="-2"/>
              </w:rPr>
              <w:t>demografia</w:t>
            </w:r>
          </w:p>
          <w:p w14:paraId="18FBCAD8" w14:textId="77777777" w:rsidR="008C0A5D" w:rsidRDefault="008C0A5D" w:rsidP="00125B4B">
            <w:pPr>
              <w:spacing w:line="240" w:lineRule="auto"/>
              <w:rPr>
                <w:color w:val="000000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Pr="008B4FE6">
              <w:rPr>
                <w:color w:val="000000"/>
              </w:rPr>
            </w:r>
            <w:r w:rsidRPr="008B4FE6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 w:rsidRPr="008B4FE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>mienie państwowe</w:t>
            </w:r>
          </w:p>
          <w:p w14:paraId="0EA182A3" w14:textId="77777777" w:rsidR="008C0A5D" w:rsidRPr="00FE1A39" w:rsidRDefault="008C0A5D" w:rsidP="00125B4B">
            <w:pPr>
              <w:spacing w:line="240" w:lineRule="auto"/>
              <w:rPr>
                <w:color w:val="000000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Pr="008B4FE6">
              <w:rPr>
                <w:color w:val="000000"/>
              </w:rPr>
            </w:r>
            <w:r w:rsidRPr="008B4FE6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 w:rsidRPr="008B4FE6">
              <w:rPr>
                <w:color w:val="000000"/>
                <w:sz w:val="20"/>
              </w:rPr>
              <w:t xml:space="preserve"> </w:t>
            </w:r>
            <w:r w:rsidRPr="008B4FE6">
              <w:rPr>
                <w:color w:val="000000"/>
                <w:spacing w:val="-2"/>
              </w:rPr>
              <w:t xml:space="preserve">inne: </w:t>
            </w:r>
            <w:r w:rsidRPr="008B4FE6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color w:val="000000"/>
              </w:rPr>
              <w:instrText xml:space="preserve"> FORMTEXT </w:instrText>
            </w:r>
            <w:r w:rsidRPr="008B4FE6">
              <w:rPr>
                <w:color w:val="000000"/>
              </w:rPr>
            </w:r>
            <w:r w:rsidRPr="008B4FE6">
              <w:rPr>
                <w:color w:val="000000"/>
              </w:rPr>
              <w:fldChar w:fldCharType="separate"/>
            </w:r>
            <w:r w:rsidRPr="008B4FE6">
              <w:rPr>
                <w:noProof/>
                <w:color w:val="000000"/>
              </w:rPr>
              <w:t> </w:t>
            </w:r>
            <w:r w:rsidRPr="008B4FE6">
              <w:rPr>
                <w:noProof/>
                <w:color w:val="000000"/>
              </w:rPr>
              <w:t> </w:t>
            </w:r>
            <w:r w:rsidRPr="008B4FE6">
              <w:rPr>
                <w:noProof/>
                <w:color w:val="000000"/>
              </w:rPr>
              <w:t> </w:t>
            </w:r>
            <w:r w:rsidRPr="008B4FE6">
              <w:rPr>
                <w:noProof/>
                <w:color w:val="000000"/>
              </w:rPr>
              <w:t> </w:t>
            </w:r>
            <w:r w:rsidRPr="008B4FE6">
              <w:rPr>
                <w:noProof/>
                <w:color w:val="000000"/>
              </w:rPr>
              <w:t> </w:t>
            </w:r>
            <w:r w:rsidRPr="008B4FE6">
              <w:rPr>
                <w:color w:val="000000"/>
              </w:rPr>
              <w:fldChar w:fldCharType="end"/>
            </w:r>
          </w:p>
        </w:tc>
        <w:tc>
          <w:tcPr>
            <w:tcW w:w="4962" w:type="dxa"/>
            <w:gridSpan w:val="11"/>
            <w:shd w:val="clear" w:color="auto" w:fill="FFFFFF" w:themeFill="background1"/>
          </w:tcPr>
          <w:p w14:paraId="651D5A3D" w14:textId="77777777" w:rsidR="008C0A5D" w:rsidRPr="008B4FE6" w:rsidRDefault="008C0A5D" w:rsidP="00125B4B">
            <w:pPr>
              <w:spacing w:line="240" w:lineRule="auto"/>
              <w:rPr>
                <w:color w:val="000000"/>
              </w:rPr>
            </w:pPr>
          </w:p>
          <w:p w14:paraId="321BCAC0" w14:textId="77777777" w:rsidR="008C0A5D" w:rsidRDefault="008C0A5D" w:rsidP="00125B4B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Pr="008B4FE6">
              <w:rPr>
                <w:color w:val="000000"/>
                <w:sz w:val="20"/>
              </w:rPr>
              <w:t xml:space="preserve"> </w:t>
            </w:r>
            <w:r w:rsidRPr="008B4FE6">
              <w:rPr>
                <w:color w:val="000000"/>
                <w:spacing w:val="-2"/>
              </w:rPr>
              <w:t>informatyzacja</w:t>
            </w:r>
          </w:p>
          <w:p w14:paraId="6F3DF380" w14:textId="77777777" w:rsidR="008C0A5D" w:rsidRPr="00FE1A39" w:rsidRDefault="008C0A5D" w:rsidP="00125B4B">
            <w:pPr>
              <w:spacing w:line="240" w:lineRule="auto"/>
              <w:rPr>
                <w:color w:val="000000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Pr="008B4FE6">
              <w:rPr>
                <w:color w:val="000000"/>
              </w:rPr>
            </w:r>
            <w:r w:rsidRPr="008B4FE6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 w:rsidRPr="008B4FE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</w:rPr>
              <w:t>zdrowie</w:t>
            </w:r>
          </w:p>
        </w:tc>
      </w:tr>
      <w:tr w:rsidR="008C0A5D" w:rsidRPr="00FE1A39" w14:paraId="2A0FCFDE" w14:textId="77777777" w:rsidTr="00484D74">
        <w:trPr>
          <w:trHeight w:val="506"/>
        </w:trPr>
        <w:tc>
          <w:tcPr>
            <w:tcW w:w="1731" w:type="dxa"/>
            <w:gridSpan w:val="2"/>
            <w:shd w:val="clear" w:color="auto" w:fill="FFFFFF" w:themeFill="background1"/>
            <w:vAlign w:val="center"/>
          </w:tcPr>
          <w:p w14:paraId="1BA38424" w14:textId="77777777" w:rsidR="008C0A5D" w:rsidRPr="00FE1A39" w:rsidRDefault="008C0A5D" w:rsidP="00125B4B">
            <w:pPr>
              <w:spacing w:line="240" w:lineRule="auto"/>
              <w:rPr>
                <w:color w:val="000000"/>
              </w:rPr>
            </w:pPr>
            <w:r w:rsidRPr="008B4FE6">
              <w:rPr>
                <w:color w:val="000000"/>
              </w:rPr>
              <w:lastRenderedPageBreak/>
              <w:t>Omówienie wpływu</w:t>
            </w:r>
          </w:p>
        </w:tc>
        <w:tc>
          <w:tcPr>
            <w:tcW w:w="9072" w:type="dxa"/>
            <w:gridSpan w:val="19"/>
            <w:shd w:val="clear" w:color="auto" w:fill="FFFFFF" w:themeFill="background1"/>
            <w:vAlign w:val="center"/>
          </w:tcPr>
          <w:p w14:paraId="6B11152B" w14:textId="77777777" w:rsidR="008C0A5D" w:rsidRDefault="008C0A5D" w:rsidP="00125B4B">
            <w:pPr>
              <w:suppressAutoHyphens/>
              <w:spacing w:line="240" w:lineRule="auto"/>
              <w:jc w:val="both"/>
              <w:rPr>
                <w:color w:val="000000"/>
                <w:spacing w:val="-2"/>
              </w:rPr>
            </w:pPr>
            <w:r w:rsidRPr="00977654">
              <w:rPr>
                <w:color w:val="000000"/>
                <w:spacing w:val="-2"/>
              </w:rPr>
              <w:t>Proponowane przepisy umożliwią dostęp do usługi umożliwiającej opłaty na rzecz administracji</w:t>
            </w:r>
            <w:r>
              <w:rPr>
                <w:color w:val="000000"/>
                <w:spacing w:val="-2"/>
              </w:rPr>
              <w:t>.</w:t>
            </w:r>
          </w:p>
          <w:p w14:paraId="09660664" w14:textId="77777777" w:rsidR="008C0A5D" w:rsidRPr="001E0AFF" w:rsidRDefault="008C0A5D" w:rsidP="00125B4B">
            <w:pPr>
              <w:suppressAutoHyphens/>
              <w:spacing w:line="240" w:lineRule="auto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P</w:t>
            </w:r>
            <w:r w:rsidRPr="00CE0A7F">
              <w:rPr>
                <w:color w:val="000000"/>
                <w:spacing w:val="-2"/>
              </w:rPr>
              <w:t>rojektowane rozwiązanie zapewnia odpowiedni poziom ochrony danych osobowych obywateli zgodnie z RODO, projekt ustawy będzie wskazywał zakres przetwarzanych danych, kto jest administratorem, a szczegółowe kwestie organizacyjne i techniczne będą określone w ogólnych warunkach świadczenia usługi, i będą zgodne z innymi przepisami dotyczącymi prowadzenia systemów (np. Krajowe Ramy Interoperacyjności)</w:t>
            </w:r>
            <w:r>
              <w:rPr>
                <w:color w:val="000000"/>
                <w:spacing w:val="-2"/>
              </w:rPr>
              <w:t>.</w:t>
            </w:r>
          </w:p>
        </w:tc>
      </w:tr>
      <w:tr w:rsidR="008C0A5D" w:rsidRPr="00FE1A39" w14:paraId="7693D9F3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99CCFF"/>
          </w:tcPr>
          <w:p w14:paraId="3BA65190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</w:rPr>
            </w:pPr>
            <w:r w:rsidRPr="00FE1A39">
              <w:rPr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8C0A5D" w:rsidRPr="00FE1A39" w14:paraId="7969CB64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FFFFFF" w:themeFill="background1"/>
          </w:tcPr>
          <w:p w14:paraId="211D3AE9" w14:textId="77777777" w:rsidR="008C0A5D" w:rsidRPr="00FE1A39" w:rsidRDefault="008C0A5D" w:rsidP="00125B4B">
            <w:pPr>
              <w:spacing w:line="240" w:lineRule="auto"/>
              <w:jc w:val="both"/>
              <w:rPr>
                <w:spacing w:val="-2"/>
              </w:rPr>
            </w:pPr>
            <w:r w:rsidRPr="0CEDF06E">
              <w:rPr>
                <w:color w:val="000000" w:themeColor="text1"/>
              </w:rPr>
              <w:t>Ustawa wejdzie w życie</w:t>
            </w:r>
            <w:r>
              <w:rPr>
                <w:color w:val="000000" w:themeColor="text1"/>
              </w:rPr>
              <w:t xml:space="preserve"> 1 stycznia 2026 r.</w:t>
            </w:r>
          </w:p>
        </w:tc>
      </w:tr>
      <w:tr w:rsidR="008C0A5D" w:rsidRPr="00FE1A39" w14:paraId="7F164890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99CCFF"/>
          </w:tcPr>
          <w:p w14:paraId="6AACB7DB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FE1A39">
              <w:rPr>
                <w:b/>
                <w:color w:val="000000"/>
              </w:rPr>
              <w:t xml:space="preserve"> </w:t>
            </w:r>
            <w:r w:rsidRPr="00FE1A39">
              <w:rPr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8C0A5D" w:rsidRPr="00FE1A39" w14:paraId="0A189F41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FFFFFF" w:themeFill="background1"/>
          </w:tcPr>
          <w:p w14:paraId="14EAADC2" w14:textId="77777777" w:rsidR="008C0A5D" w:rsidRPr="00FE1A39" w:rsidRDefault="008C0A5D" w:rsidP="00125B4B">
            <w:pPr>
              <w:suppressAutoHyphens/>
              <w:spacing w:line="240" w:lineRule="auto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Nie będzie prowadzona ewaluacja efektów projektu.</w:t>
            </w:r>
          </w:p>
        </w:tc>
      </w:tr>
      <w:tr w:rsidR="008C0A5D" w:rsidRPr="00FE1A39" w14:paraId="05A92605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99CCFF"/>
          </w:tcPr>
          <w:p w14:paraId="6DA247CB" w14:textId="77777777" w:rsidR="008C0A5D" w:rsidRPr="00FE1A39" w:rsidRDefault="008C0A5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pacing w:val="-2"/>
              </w:rPr>
            </w:pPr>
            <w:r w:rsidRPr="00FE1A39">
              <w:rPr>
                <w:b/>
                <w:color w:val="000000"/>
                <w:spacing w:val="-2"/>
              </w:rPr>
              <w:t xml:space="preserve">Załączniki </w:t>
            </w:r>
            <w:r w:rsidRPr="00FE1A39">
              <w:rPr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FE1A39">
              <w:rPr>
                <w:b/>
                <w:color w:val="000000"/>
                <w:spacing w:val="-2"/>
              </w:rPr>
              <w:t xml:space="preserve">) </w:t>
            </w:r>
          </w:p>
        </w:tc>
      </w:tr>
      <w:tr w:rsidR="008C0A5D" w:rsidRPr="00FE1A39" w14:paraId="19687D40" w14:textId="77777777" w:rsidTr="00484D74">
        <w:trPr>
          <w:gridAfter w:val="1"/>
          <w:wAfter w:w="7" w:type="dxa"/>
          <w:trHeight w:val="142"/>
        </w:trPr>
        <w:tc>
          <w:tcPr>
            <w:tcW w:w="10796" w:type="dxa"/>
            <w:gridSpan w:val="20"/>
            <w:shd w:val="clear" w:color="auto" w:fill="FFFFFF" w:themeFill="background1"/>
          </w:tcPr>
          <w:p w14:paraId="45243740" w14:textId="77777777" w:rsidR="008C0A5D" w:rsidRPr="00FE1A39" w:rsidRDefault="008C0A5D" w:rsidP="00125B4B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FE1A39">
              <w:rPr>
                <w:color w:val="000000"/>
                <w:spacing w:val="-2"/>
              </w:rPr>
              <w:t>Nie dotyczy</w:t>
            </w:r>
            <w:r>
              <w:rPr>
                <w:color w:val="000000"/>
                <w:spacing w:val="-2"/>
              </w:rPr>
              <w:t>.</w:t>
            </w:r>
          </w:p>
        </w:tc>
      </w:tr>
      <w:bookmarkEnd w:id="7"/>
    </w:tbl>
    <w:p w14:paraId="4A3689A0" w14:textId="77777777" w:rsidR="004D2913" w:rsidRDefault="004D2913" w:rsidP="008C0A5D">
      <w:pPr>
        <w:pStyle w:val="ARTartustawynprozporzdzenia"/>
        <w:ind w:left="-993" w:right="-869" w:firstLine="0"/>
      </w:pPr>
    </w:p>
    <w:p w14:paraId="2E6D375E" w14:textId="77777777" w:rsidR="004D2913" w:rsidRDefault="004D2913" w:rsidP="00135589">
      <w:pPr>
        <w:pStyle w:val="ARTartustawynprozporzdzenia"/>
        <w:ind w:firstLine="0"/>
      </w:pPr>
    </w:p>
    <w:sectPr w:rsidR="004D2913" w:rsidSect="001A7F15">
      <w:headerReference w:type="default" r:id="rId9"/>
      <w:foot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D77C" w14:textId="77777777" w:rsidR="00B33005" w:rsidRDefault="00B33005">
      <w:r>
        <w:separator/>
      </w:r>
    </w:p>
  </w:endnote>
  <w:endnote w:type="continuationSeparator" w:id="0">
    <w:p w14:paraId="7689D418" w14:textId="77777777" w:rsidR="00B33005" w:rsidRDefault="00B3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02DE" w14:textId="77777777" w:rsidR="009A5EC3" w:rsidRDefault="009A5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786F" w14:textId="77777777" w:rsidR="00B33005" w:rsidRDefault="00B33005">
      <w:r>
        <w:separator/>
      </w:r>
    </w:p>
  </w:footnote>
  <w:footnote w:type="continuationSeparator" w:id="0">
    <w:p w14:paraId="6C673250" w14:textId="77777777" w:rsidR="00B33005" w:rsidRDefault="00B3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2D9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90642"/>
    <w:multiLevelType w:val="multilevel"/>
    <w:tmpl w:val="825C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24132"/>
    <w:multiLevelType w:val="hybridMultilevel"/>
    <w:tmpl w:val="0338DD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4414"/>
    <w:multiLevelType w:val="hybridMultilevel"/>
    <w:tmpl w:val="0338D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10998">
    <w:abstractNumId w:val="2"/>
  </w:num>
  <w:num w:numId="2" w16cid:durableId="1419329336">
    <w:abstractNumId w:val="3"/>
  </w:num>
  <w:num w:numId="3" w16cid:durableId="1692031424">
    <w:abstractNumId w:val="1"/>
  </w:num>
  <w:num w:numId="4" w16cid:durableId="166392429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F8"/>
    <w:rsid w:val="000012DA"/>
    <w:rsid w:val="0000246E"/>
    <w:rsid w:val="00003862"/>
    <w:rsid w:val="00012595"/>
    <w:rsid w:val="00012A35"/>
    <w:rsid w:val="00016099"/>
    <w:rsid w:val="00017DC2"/>
    <w:rsid w:val="00021522"/>
    <w:rsid w:val="00022F31"/>
    <w:rsid w:val="00023471"/>
    <w:rsid w:val="000234F3"/>
    <w:rsid w:val="00023F13"/>
    <w:rsid w:val="00025E7E"/>
    <w:rsid w:val="00030634"/>
    <w:rsid w:val="000319C1"/>
    <w:rsid w:val="00031A8B"/>
    <w:rsid w:val="00031BCA"/>
    <w:rsid w:val="000330FA"/>
    <w:rsid w:val="000332CB"/>
    <w:rsid w:val="0003362F"/>
    <w:rsid w:val="00036B63"/>
    <w:rsid w:val="00036B6A"/>
    <w:rsid w:val="00037006"/>
    <w:rsid w:val="00037E1A"/>
    <w:rsid w:val="00043495"/>
    <w:rsid w:val="00046A75"/>
    <w:rsid w:val="00047312"/>
    <w:rsid w:val="0004783D"/>
    <w:rsid w:val="000508BD"/>
    <w:rsid w:val="0005146B"/>
    <w:rsid w:val="000517AB"/>
    <w:rsid w:val="0005339C"/>
    <w:rsid w:val="00055083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55B8"/>
    <w:rsid w:val="000760BF"/>
    <w:rsid w:val="0007613E"/>
    <w:rsid w:val="00076BFC"/>
    <w:rsid w:val="000805FF"/>
    <w:rsid w:val="000814A7"/>
    <w:rsid w:val="000831BD"/>
    <w:rsid w:val="0008557B"/>
    <w:rsid w:val="00085CE7"/>
    <w:rsid w:val="000906EE"/>
    <w:rsid w:val="00091609"/>
    <w:rsid w:val="00091BA2"/>
    <w:rsid w:val="000944EF"/>
    <w:rsid w:val="0009732D"/>
    <w:rsid w:val="000973F0"/>
    <w:rsid w:val="000A009D"/>
    <w:rsid w:val="000A1296"/>
    <w:rsid w:val="000A1C27"/>
    <w:rsid w:val="000A1DAD"/>
    <w:rsid w:val="000A1DEF"/>
    <w:rsid w:val="000A2649"/>
    <w:rsid w:val="000A323B"/>
    <w:rsid w:val="000B298D"/>
    <w:rsid w:val="000B2CAE"/>
    <w:rsid w:val="000B5B2D"/>
    <w:rsid w:val="000B5DCE"/>
    <w:rsid w:val="000C05BA"/>
    <w:rsid w:val="000C0E8F"/>
    <w:rsid w:val="000C4A93"/>
    <w:rsid w:val="000C4BC4"/>
    <w:rsid w:val="000C7064"/>
    <w:rsid w:val="000C71A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706F"/>
    <w:rsid w:val="000F2BE3"/>
    <w:rsid w:val="000F3D0D"/>
    <w:rsid w:val="000F5CE5"/>
    <w:rsid w:val="000F6ED4"/>
    <w:rsid w:val="000F7A6E"/>
    <w:rsid w:val="00100993"/>
    <w:rsid w:val="001042BA"/>
    <w:rsid w:val="00106D03"/>
    <w:rsid w:val="00110465"/>
    <w:rsid w:val="00110628"/>
    <w:rsid w:val="00110CD1"/>
    <w:rsid w:val="00110F6F"/>
    <w:rsid w:val="00112373"/>
    <w:rsid w:val="0011245A"/>
    <w:rsid w:val="0011493E"/>
    <w:rsid w:val="00115B72"/>
    <w:rsid w:val="001209EC"/>
    <w:rsid w:val="00120A9E"/>
    <w:rsid w:val="00125A9C"/>
    <w:rsid w:val="001270A2"/>
    <w:rsid w:val="001275E7"/>
    <w:rsid w:val="001307D4"/>
    <w:rsid w:val="00131237"/>
    <w:rsid w:val="001323DF"/>
    <w:rsid w:val="001329AC"/>
    <w:rsid w:val="00134456"/>
    <w:rsid w:val="001349F7"/>
    <w:rsid w:val="00134CA0"/>
    <w:rsid w:val="00135589"/>
    <w:rsid w:val="0014026F"/>
    <w:rsid w:val="00140C95"/>
    <w:rsid w:val="001419F9"/>
    <w:rsid w:val="00147A47"/>
    <w:rsid w:val="00147AA1"/>
    <w:rsid w:val="001520CF"/>
    <w:rsid w:val="0015667C"/>
    <w:rsid w:val="00156BF8"/>
    <w:rsid w:val="00157110"/>
    <w:rsid w:val="0015742A"/>
    <w:rsid w:val="00157DA1"/>
    <w:rsid w:val="00163147"/>
    <w:rsid w:val="00164172"/>
    <w:rsid w:val="00164C57"/>
    <w:rsid w:val="00164C9D"/>
    <w:rsid w:val="00171430"/>
    <w:rsid w:val="00172E76"/>
    <w:rsid w:val="00172F7A"/>
    <w:rsid w:val="00173150"/>
    <w:rsid w:val="00173390"/>
    <w:rsid w:val="001736F0"/>
    <w:rsid w:val="00173BB3"/>
    <w:rsid w:val="001740D0"/>
    <w:rsid w:val="00174F2C"/>
    <w:rsid w:val="00176832"/>
    <w:rsid w:val="00180F2A"/>
    <w:rsid w:val="00184B91"/>
    <w:rsid w:val="00184D4A"/>
    <w:rsid w:val="00184DD4"/>
    <w:rsid w:val="00186990"/>
    <w:rsid w:val="00186EC1"/>
    <w:rsid w:val="00186FE2"/>
    <w:rsid w:val="00187E78"/>
    <w:rsid w:val="00191E1F"/>
    <w:rsid w:val="0019473B"/>
    <w:rsid w:val="001952B1"/>
    <w:rsid w:val="001963D9"/>
    <w:rsid w:val="001965B6"/>
    <w:rsid w:val="00196E39"/>
    <w:rsid w:val="00197649"/>
    <w:rsid w:val="001A01FB"/>
    <w:rsid w:val="001A10E9"/>
    <w:rsid w:val="001A183D"/>
    <w:rsid w:val="001A2B65"/>
    <w:rsid w:val="001A3CD3"/>
    <w:rsid w:val="001A5BEF"/>
    <w:rsid w:val="001A6946"/>
    <w:rsid w:val="001A70B4"/>
    <w:rsid w:val="001A7632"/>
    <w:rsid w:val="001A7F15"/>
    <w:rsid w:val="001B2126"/>
    <w:rsid w:val="001B342E"/>
    <w:rsid w:val="001B3DBA"/>
    <w:rsid w:val="001B3F33"/>
    <w:rsid w:val="001C1832"/>
    <w:rsid w:val="001C188C"/>
    <w:rsid w:val="001C1F4A"/>
    <w:rsid w:val="001C3B2C"/>
    <w:rsid w:val="001C4B5A"/>
    <w:rsid w:val="001D1783"/>
    <w:rsid w:val="001D53CD"/>
    <w:rsid w:val="001D55A3"/>
    <w:rsid w:val="001D5AF5"/>
    <w:rsid w:val="001D5D7B"/>
    <w:rsid w:val="001E1E73"/>
    <w:rsid w:val="001E47C8"/>
    <w:rsid w:val="001E4DC3"/>
    <w:rsid w:val="001E4E0C"/>
    <w:rsid w:val="001E526D"/>
    <w:rsid w:val="001E5655"/>
    <w:rsid w:val="001F1832"/>
    <w:rsid w:val="001F220F"/>
    <w:rsid w:val="001F25B3"/>
    <w:rsid w:val="001F6616"/>
    <w:rsid w:val="002022F8"/>
    <w:rsid w:val="00202BD4"/>
    <w:rsid w:val="00204A97"/>
    <w:rsid w:val="00204F44"/>
    <w:rsid w:val="0020591B"/>
    <w:rsid w:val="002114EF"/>
    <w:rsid w:val="00215262"/>
    <w:rsid w:val="002166AD"/>
    <w:rsid w:val="00217871"/>
    <w:rsid w:val="00221ED8"/>
    <w:rsid w:val="002231EA"/>
    <w:rsid w:val="00223FDF"/>
    <w:rsid w:val="0022574A"/>
    <w:rsid w:val="002279C0"/>
    <w:rsid w:val="00230B43"/>
    <w:rsid w:val="0023727E"/>
    <w:rsid w:val="00242081"/>
    <w:rsid w:val="00243777"/>
    <w:rsid w:val="002441CD"/>
    <w:rsid w:val="00244395"/>
    <w:rsid w:val="002501A3"/>
    <w:rsid w:val="0025166C"/>
    <w:rsid w:val="00254778"/>
    <w:rsid w:val="00254FC7"/>
    <w:rsid w:val="002555D4"/>
    <w:rsid w:val="00261A16"/>
    <w:rsid w:val="00263522"/>
    <w:rsid w:val="00264EC6"/>
    <w:rsid w:val="0026551C"/>
    <w:rsid w:val="002678B9"/>
    <w:rsid w:val="00271013"/>
    <w:rsid w:val="002730BB"/>
    <w:rsid w:val="00273FE4"/>
    <w:rsid w:val="002765B4"/>
    <w:rsid w:val="00276A94"/>
    <w:rsid w:val="00292462"/>
    <w:rsid w:val="0029405D"/>
    <w:rsid w:val="00294FA6"/>
    <w:rsid w:val="00295A6F"/>
    <w:rsid w:val="002962F0"/>
    <w:rsid w:val="0029798C"/>
    <w:rsid w:val="002A20C4"/>
    <w:rsid w:val="002A2CE2"/>
    <w:rsid w:val="002A509A"/>
    <w:rsid w:val="002A570F"/>
    <w:rsid w:val="002A7292"/>
    <w:rsid w:val="002A7358"/>
    <w:rsid w:val="002A7902"/>
    <w:rsid w:val="002B0F6B"/>
    <w:rsid w:val="002B23B8"/>
    <w:rsid w:val="002B4429"/>
    <w:rsid w:val="002B68A6"/>
    <w:rsid w:val="002B7ED4"/>
    <w:rsid w:val="002B7FAF"/>
    <w:rsid w:val="002C044B"/>
    <w:rsid w:val="002C0B39"/>
    <w:rsid w:val="002C3EEA"/>
    <w:rsid w:val="002C3F3D"/>
    <w:rsid w:val="002D0C4F"/>
    <w:rsid w:val="002D1364"/>
    <w:rsid w:val="002D3AEA"/>
    <w:rsid w:val="002D4D30"/>
    <w:rsid w:val="002D5000"/>
    <w:rsid w:val="002D598D"/>
    <w:rsid w:val="002D7188"/>
    <w:rsid w:val="002E16D4"/>
    <w:rsid w:val="002E17A2"/>
    <w:rsid w:val="002E1DE3"/>
    <w:rsid w:val="002E2AB6"/>
    <w:rsid w:val="002E3F34"/>
    <w:rsid w:val="002E5F79"/>
    <w:rsid w:val="002E64FA"/>
    <w:rsid w:val="002F0A00"/>
    <w:rsid w:val="002F0CFA"/>
    <w:rsid w:val="002F669F"/>
    <w:rsid w:val="002F66D4"/>
    <w:rsid w:val="00301C97"/>
    <w:rsid w:val="0030451D"/>
    <w:rsid w:val="0030478B"/>
    <w:rsid w:val="0030536B"/>
    <w:rsid w:val="0031004C"/>
    <w:rsid w:val="003105F6"/>
    <w:rsid w:val="00311297"/>
    <w:rsid w:val="003113BE"/>
    <w:rsid w:val="003122CA"/>
    <w:rsid w:val="00312DE6"/>
    <w:rsid w:val="003148FD"/>
    <w:rsid w:val="003157BD"/>
    <w:rsid w:val="00320091"/>
    <w:rsid w:val="00321080"/>
    <w:rsid w:val="00321A4E"/>
    <w:rsid w:val="00322D45"/>
    <w:rsid w:val="0032569A"/>
    <w:rsid w:val="00325A1F"/>
    <w:rsid w:val="003268F9"/>
    <w:rsid w:val="003308C5"/>
    <w:rsid w:val="00330BAF"/>
    <w:rsid w:val="00334530"/>
    <w:rsid w:val="00334E3A"/>
    <w:rsid w:val="003352D0"/>
    <w:rsid w:val="003361DD"/>
    <w:rsid w:val="00341A6A"/>
    <w:rsid w:val="0034556A"/>
    <w:rsid w:val="00345B9C"/>
    <w:rsid w:val="00351C7D"/>
    <w:rsid w:val="00352DAE"/>
    <w:rsid w:val="00354EB9"/>
    <w:rsid w:val="003602AE"/>
    <w:rsid w:val="00360929"/>
    <w:rsid w:val="003647D5"/>
    <w:rsid w:val="00366AAB"/>
    <w:rsid w:val="003674B0"/>
    <w:rsid w:val="0037617E"/>
    <w:rsid w:val="0037727C"/>
    <w:rsid w:val="00377E70"/>
    <w:rsid w:val="00380904"/>
    <w:rsid w:val="00381EAF"/>
    <w:rsid w:val="003823EE"/>
    <w:rsid w:val="00382960"/>
    <w:rsid w:val="0038400A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BA6"/>
    <w:rsid w:val="00396E3E"/>
    <w:rsid w:val="003A306E"/>
    <w:rsid w:val="003A40C5"/>
    <w:rsid w:val="003A5225"/>
    <w:rsid w:val="003A60DC"/>
    <w:rsid w:val="003A6A46"/>
    <w:rsid w:val="003A7A63"/>
    <w:rsid w:val="003B000C"/>
    <w:rsid w:val="003B0F1D"/>
    <w:rsid w:val="003B1875"/>
    <w:rsid w:val="003B4A57"/>
    <w:rsid w:val="003B4EA4"/>
    <w:rsid w:val="003C0AD9"/>
    <w:rsid w:val="003C0ED0"/>
    <w:rsid w:val="003C1D49"/>
    <w:rsid w:val="003C35C4"/>
    <w:rsid w:val="003C7DF8"/>
    <w:rsid w:val="003D12C2"/>
    <w:rsid w:val="003D31B9"/>
    <w:rsid w:val="003D3867"/>
    <w:rsid w:val="003E0D1A"/>
    <w:rsid w:val="003E26A7"/>
    <w:rsid w:val="003E2DA3"/>
    <w:rsid w:val="003E67CD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3938"/>
    <w:rsid w:val="00404060"/>
    <w:rsid w:val="00407332"/>
    <w:rsid w:val="00407828"/>
    <w:rsid w:val="0041240A"/>
    <w:rsid w:val="00413D8E"/>
    <w:rsid w:val="004140F2"/>
    <w:rsid w:val="00417B22"/>
    <w:rsid w:val="00417C9D"/>
    <w:rsid w:val="00421085"/>
    <w:rsid w:val="0042465E"/>
    <w:rsid w:val="00424DF7"/>
    <w:rsid w:val="0042548F"/>
    <w:rsid w:val="00431143"/>
    <w:rsid w:val="004328FB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66C"/>
    <w:rsid w:val="0047207C"/>
    <w:rsid w:val="00472614"/>
    <w:rsid w:val="00472CD6"/>
    <w:rsid w:val="00472ED0"/>
    <w:rsid w:val="00472F76"/>
    <w:rsid w:val="00473B86"/>
    <w:rsid w:val="00473E85"/>
    <w:rsid w:val="00474E3C"/>
    <w:rsid w:val="0047678A"/>
    <w:rsid w:val="00480A58"/>
    <w:rsid w:val="00482151"/>
    <w:rsid w:val="00484D74"/>
    <w:rsid w:val="00485FAD"/>
    <w:rsid w:val="00487796"/>
    <w:rsid w:val="00487AED"/>
    <w:rsid w:val="00491EDF"/>
    <w:rsid w:val="00492A3F"/>
    <w:rsid w:val="00494E45"/>
    <w:rsid w:val="00494F62"/>
    <w:rsid w:val="004A059F"/>
    <w:rsid w:val="004A0ACF"/>
    <w:rsid w:val="004A2001"/>
    <w:rsid w:val="004A2C94"/>
    <w:rsid w:val="004A3590"/>
    <w:rsid w:val="004A3A4C"/>
    <w:rsid w:val="004B00A7"/>
    <w:rsid w:val="004B25E2"/>
    <w:rsid w:val="004B34D7"/>
    <w:rsid w:val="004B40C9"/>
    <w:rsid w:val="004B5034"/>
    <w:rsid w:val="004B5037"/>
    <w:rsid w:val="004B5B2F"/>
    <w:rsid w:val="004B626A"/>
    <w:rsid w:val="004B660E"/>
    <w:rsid w:val="004C05BD"/>
    <w:rsid w:val="004C3B06"/>
    <w:rsid w:val="004C3F97"/>
    <w:rsid w:val="004C7EE7"/>
    <w:rsid w:val="004D0819"/>
    <w:rsid w:val="004D1427"/>
    <w:rsid w:val="004D18F0"/>
    <w:rsid w:val="004D1A18"/>
    <w:rsid w:val="004D2913"/>
    <w:rsid w:val="004D2DEE"/>
    <w:rsid w:val="004D2E1F"/>
    <w:rsid w:val="004D57D4"/>
    <w:rsid w:val="004D7FD9"/>
    <w:rsid w:val="004E03F2"/>
    <w:rsid w:val="004E1324"/>
    <w:rsid w:val="004E19A5"/>
    <w:rsid w:val="004E37E5"/>
    <w:rsid w:val="004E3FDB"/>
    <w:rsid w:val="004E7512"/>
    <w:rsid w:val="004F1A8B"/>
    <w:rsid w:val="004F1F4A"/>
    <w:rsid w:val="004F296D"/>
    <w:rsid w:val="004F508B"/>
    <w:rsid w:val="004F695F"/>
    <w:rsid w:val="004F6CA4"/>
    <w:rsid w:val="00500752"/>
    <w:rsid w:val="00501A50"/>
    <w:rsid w:val="00502007"/>
    <w:rsid w:val="0050222D"/>
    <w:rsid w:val="00503AF3"/>
    <w:rsid w:val="0050696D"/>
    <w:rsid w:val="0051094B"/>
    <w:rsid w:val="005110D7"/>
    <w:rsid w:val="00511D99"/>
    <w:rsid w:val="005128D3"/>
    <w:rsid w:val="005132E0"/>
    <w:rsid w:val="005147E8"/>
    <w:rsid w:val="005158F2"/>
    <w:rsid w:val="00525DEB"/>
    <w:rsid w:val="00526DFC"/>
    <w:rsid w:val="00526F43"/>
    <w:rsid w:val="00527651"/>
    <w:rsid w:val="005342BF"/>
    <w:rsid w:val="005363AB"/>
    <w:rsid w:val="0053C8CE"/>
    <w:rsid w:val="00544EF4"/>
    <w:rsid w:val="0054536E"/>
    <w:rsid w:val="00545E53"/>
    <w:rsid w:val="005479D9"/>
    <w:rsid w:val="00554CB7"/>
    <w:rsid w:val="005572BD"/>
    <w:rsid w:val="00557A12"/>
    <w:rsid w:val="00560AC7"/>
    <w:rsid w:val="005615F9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AEF"/>
    <w:rsid w:val="005815DA"/>
    <w:rsid w:val="005835E7"/>
    <w:rsid w:val="0058397F"/>
    <w:rsid w:val="00583BF8"/>
    <w:rsid w:val="0058562F"/>
    <w:rsid w:val="00585F33"/>
    <w:rsid w:val="00591124"/>
    <w:rsid w:val="00595ECA"/>
    <w:rsid w:val="00597024"/>
    <w:rsid w:val="005A0274"/>
    <w:rsid w:val="005A0496"/>
    <w:rsid w:val="005A095C"/>
    <w:rsid w:val="005A669D"/>
    <w:rsid w:val="005A75D8"/>
    <w:rsid w:val="005B713E"/>
    <w:rsid w:val="005C03B6"/>
    <w:rsid w:val="005C087C"/>
    <w:rsid w:val="005C0979"/>
    <w:rsid w:val="005C1D32"/>
    <w:rsid w:val="005C348E"/>
    <w:rsid w:val="005C68E1"/>
    <w:rsid w:val="005C6F98"/>
    <w:rsid w:val="005D21A4"/>
    <w:rsid w:val="005D3763"/>
    <w:rsid w:val="005D55E1"/>
    <w:rsid w:val="005E19F7"/>
    <w:rsid w:val="005E2C54"/>
    <w:rsid w:val="005E4F04"/>
    <w:rsid w:val="005E62C2"/>
    <w:rsid w:val="005E6C71"/>
    <w:rsid w:val="005F0963"/>
    <w:rsid w:val="005F2824"/>
    <w:rsid w:val="005F2EBA"/>
    <w:rsid w:val="005F35ED"/>
    <w:rsid w:val="005F5694"/>
    <w:rsid w:val="005F7812"/>
    <w:rsid w:val="005F7A88"/>
    <w:rsid w:val="00603288"/>
    <w:rsid w:val="00603A1A"/>
    <w:rsid w:val="006046D5"/>
    <w:rsid w:val="00607A93"/>
    <w:rsid w:val="00610C08"/>
    <w:rsid w:val="00611F74"/>
    <w:rsid w:val="006139E8"/>
    <w:rsid w:val="00615772"/>
    <w:rsid w:val="00621256"/>
    <w:rsid w:val="00621FCC"/>
    <w:rsid w:val="00622E4B"/>
    <w:rsid w:val="00623634"/>
    <w:rsid w:val="00626BDE"/>
    <w:rsid w:val="00631797"/>
    <w:rsid w:val="00632F4F"/>
    <w:rsid w:val="006333DA"/>
    <w:rsid w:val="00635134"/>
    <w:rsid w:val="006356D1"/>
    <w:rsid w:val="006356E2"/>
    <w:rsid w:val="00640427"/>
    <w:rsid w:val="00640A1B"/>
    <w:rsid w:val="00642A65"/>
    <w:rsid w:val="00645DCE"/>
    <w:rsid w:val="006465AC"/>
    <w:rsid w:val="006465BF"/>
    <w:rsid w:val="00650B38"/>
    <w:rsid w:val="00651455"/>
    <w:rsid w:val="00652128"/>
    <w:rsid w:val="00653B22"/>
    <w:rsid w:val="00656A48"/>
    <w:rsid w:val="00657BE6"/>
    <w:rsid w:val="00657BF4"/>
    <w:rsid w:val="00657DFA"/>
    <w:rsid w:val="006603FB"/>
    <w:rsid w:val="006608DF"/>
    <w:rsid w:val="006623AC"/>
    <w:rsid w:val="006676DB"/>
    <w:rsid w:val="006678AF"/>
    <w:rsid w:val="006701EF"/>
    <w:rsid w:val="006707D7"/>
    <w:rsid w:val="00673BA5"/>
    <w:rsid w:val="00680058"/>
    <w:rsid w:val="00681F9F"/>
    <w:rsid w:val="006840EA"/>
    <w:rsid w:val="006844E2"/>
    <w:rsid w:val="00685267"/>
    <w:rsid w:val="006855C7"/>
    <w:rsid w:val="006872AE"/>
    <w:rsid w:val="00690082"/>
    <w:rsid w:val="00690252"/>
    <w:rsid w:val="006945AC"/>
    <w:rsid w:val="006946BB"/>
    <w:rsid w:val="006969FA"/>
    <w:rsid w:val="00696BE2"/>
    <w:rsid w:val="006A35D5"/>
    <w:rsid w:val="006A748A"/>
    <w:rsid w:val="006B44BC"/>
    <w:rsid w:val="006C419E"/>
    <w:rsid w:val="006C4A31"/>
    <w:rsid w:val="006C5AC2"/>
    <w:rsid w:val="006C6AFB"/>
    <w:rsid w:val="006D2735"/>
    <w:rsid w:val="006D3333"/>
    <w:rsid w:val="006D385B"/>
    <w:rsid w:val="006D45B2"/>
    <w:rsid w:val="006D5285"/>
    <w:rsid w:val="006D53A8"/>
    <w:rsid w:val="006E0FCC"/>
    <w:rsid w:val="006E1E96"/>
    <w:rsid w:val="006E5E21"/>
    <w:rsid w:val="006F0215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4C9"/>
    <w:rsid w:val="00736A64"/>
    <w:rsid w:val="00737F6A"/>
    <w:rsid w:val="007410B6"/>
    <w:rsid w:val="00744C6F"/>
    <w:rsid w:val="007457F6"/>
    <w:rsid w:val="00745ABB"/>
    <w:rsid w:val="00745CFB"/>
    <w:rsid w:val="0074694D"/>
    <w:rsid w:val="00746E38"/>
    <w:rsid w:val="00747CD5"/>
    <w:rsid w:val="00747EDB"/>
    <w:rsid w:val="00753B51"/>
    <w:rsid w:val="00754F63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0FF8"/>
    <w:rsid w:val="00792207"/>
    <w:rsid w:val="00792B64"/>
    <w:rsid w:val="00792E29"/>
    <w:rsid w:val="0079379A"/>
    <w:rsid w:val="00794953"/>
    <w:rsid w:val="007A1997"/>
    <w:rsid w:val="007A1F2F"/>
    <w:rsid w:val="007A2A5C"/>
    <w:rsid w:val="007A5150"/>
    <w:rsid w:val="007A5373"/>
    <w:rsid w:val="007A550A"/>
    <w:rsid w:val="007A5AC8"/>
    <w:rsid w:val="007A789F"/>
    <w:rsid w:val="007B6E51"/>
    <w:rsid w:val="007B75BC"/>
    <w:rsid w:val="007C0BD6"/>
    <w:rsid w:val="007C1736"/>
    <w:rsid w:val="007C2671"/>
    <w:rsid w:val="007C3806"/>
    <w:rsid w:val="007C5BB7"/>
    <w:rsid w:val="007D07D5"/>
    <w:rsid w:val="007D1C64"/>
    <w:rsid w:val="007D32DD"/>
    <w:rsid w:val="007D6DCE"/>
    <w:rsid w:val="007D72C4"/>
    <w:rsid w:val="007E21DF"/>
    <w:rsid w:val="007E2CFE"/>
    <w:rsid w:val="007E58E9"/>
    <w:rsid w:val="007E59C9"/>
    <w:rsid w:val="007F0072"/>
    <w:rsid w:val="007F2EB6"/>
    <w:rsid w:val="007F54C3"/>
    <w:rsid w:val="007F76B8"/>
    <w:rsid w:val="00802251"/>
    <w:rsid w:val="00802949"/>
    <w:rsid w:val="0080301E"/>
    <w:rsid w:val="0080365F"/>
    <w:rsid w:val="00804A95"/>
    <w:rsid w:val="00806DF4"/>
    <w:rsid w:val="008070A7"/>
    <w:rsid w:val="00812BE5"/>
    <w:rsid w:val="00817429"/>
    <w:rsid w:val="00817C4D"/>
    <w:rsid w:val="00821514"/>
    <w:rsid w:val="00821E35"/>
    <w:rsid w:val="00824591"/>
    <w:rsid w:val="00824AED"/>
    <w:rsid w:val="00827820"/>
    <w:rsid w:val="008307B3"/>
    <w:rsid w:val="00830A81"/>
    <w:rsid w:val="00831B8B"/>
    <w:rsid w:val="00832331"/>
    <w:rsid w:val="0083405D"/>
    <w:rsid w:val="008352D4"/>
    <w:rsid w:val="008359C0"/>
    <w:rsid w:val="00836DB9"/>
    <w:rsid w:val="0083714D"/>
    <w:rsid w:val="00837C67"/>
    <w:rsid w:val="008415B0"/>
    <w:rsid w:val="00842028"/>
    <w:rsid w:val="008436B8"/>
    <w:rsid w:val="00845781"/>
    <w:rsid w:val="00845DA7"/>
    <w:rsid w:val="008460B6"/>
    <w:rsid w:val="008461B7"/>
    <w:rsid w:val="00850C9D"/>
    <w:rsid w:val="00851FF7"/>
    <w:rsid w:val="00852B59"/>
    <w:rsid w:val="00853EBD"/>
    <w:rsid w:val="00856272"/>
    <w:rsid w:val="008563FF"/>
    <w:rsid w:val="0086018B"/>
    <w:rsid w:val="008601A1"/>
    <w:rsid w:val="008611DD"/>
    <w:rsid w:val="008620DE"/>
    <w:rsid w:val="00863C8A"/>
    <w:rsid w:val="00866867"/>
    <w:rsid w:val="00872257"/>
    <w:rsid w:val="00874298"/>
    <w:rsid w:val="00874AF9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7C9"/>
    <w:rsid w:val="00887889"/>
    <w:rsid w:val="008920FF"/>
    <w:rsid w:val="00892144"/>
    <w:rsid w:val="008926E8"/>
    <w:rsid w:val="00894F19"/>
    <w:rsid w:val="00895994"/>
    <w:rsid w:val="00896A10"/>
    <w:rsid w:val="008971B5"/>
    <w:rsid w:val="008A1737"/>
    <w:rsid w:val="008A5D26"/>
    <w:rsid w:val="008A6B13"/>
    <w:rsid w:val="008A6ECB"/>
    <w:rsid w:val="008B0BF9"/>
    <w:rsid w:val="008B2866"/>
    <w:rsid w:val="008B3859"/>
    <w:rsid w:val="008B436D"/>
    <w:rsid w:val="008B4E49"/>
    <w:rsid w:val="008B5AE9"/>
    <w:rsid w:val="008B7712"/>
    <w:rsid w:val="008B7B26"/>
    <w:rsid w:val="008C0A5D"/>
    <w:rsid w:val="008C3524"/>
    <w:rsid w:val="008C4061"/>
    <w:rsid w:val="008C4229"/>
    <w:rsid w:val="008C5BE0"/>
    <w:rsid w:val="008C7233"/>
    <w:rsid w:val="008C7DA5"/>
    <w:rsid w:val="008D2434"/>
    <w:rsid w:val="008D7599"/>
    <w:rsid w:val="008E171D"/>
    <w:rsid w:val="008E2785"/>
    <w:rsid w:val="008E60CA"/>
    <w:rsid w:val="008E78A3"/>
    <w:rsid w:val="008F0654"/>
    <w:rsid w:val="008F06CB"/>
    <w:rsid w:val="008F2E83"/>
    <w:rsid w:val="008F612A"/>
    <w:rsid w:val="008F7F55"/>
    <w:rsid w:val="009022F7"/>
    <w:rsid w:val="0090293D"/>
    <w:rsid w:val="009034DE"/>
    <w:rsid w:val="00905396"/>
    <w:rsid w:val="0090605D"/>
    <w:rsid w:val="00906419"/>
    <w:rsid w:val="00907342"/>
    <w:rsid w:val="00911382"/>
    <w:rsid w:val="00912889"/>
    <w:rsid w:val="00913A42"/>
    <w:rsid w:val="00914167"/>
    <w:rsid w:val="009143DB"/>
    <w:rsid w:val="00915065"/>
    <w:rsid w:val="0091687F"/>
    <w:rsid w:val="00917890"/>
    <w:rsid w:val="00917CE5"/>
    <w:rsid w:val="00920671"/>
    <w:rsid w:val="009217C0"/>
    <w:rsid w:val="00925241"/>
    <w:rsid w:val="00925CEC"/>
    <w:rsid w:val="00926A3F"/>
    <w:rsid w:val="0092794E"/>
    <w:rsid w:val="0092907C"/>
    <w:rsid w:val="00930D30"/>
    <w:rsid w:val="00932F83"/>
    <w:rsid w:val="009332A2"/>
    <w:rsid w:val="009334DF"/>
    <w:rsid w:val="00934D11"/>
    <w:rsid w:val="00934E97"/>
    <w:rsid w:val="009352A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3BA7"/>
    <w:rsid w:val="00984E03"/>
    <w:rsid w:val="00987408"/>
    <w:rsid w:val="00987E85"/>
    <w:rsid w:val="00990C04"/>
    <w:rsid w:val="0099549E"/>
    <w:rsid w:val="00997202"/>
    <w:rsid w:val="00997FEF"/>
    <w:rsid w:val="009A0D12"/>
    <w:rsid w:val="009A1987"/>
    <w:rsid w:val="009A2BEE"/>
    <w:rsid w:val="009A5289"/>
    <w:rsid w:val="009A5628"/>
    <w:rsid w:val="009A5EC3"/>
    <w:rsid w:val="009A7A53"/>
    <w:rsid w:val="009B0402"/>
    <w:rsid w:val="009B0B75"/>
    <w:rsid w:val="009B16DF"/>
    <w:rsid w:val="009B2FA7"/>
    <w:rsid w:val="009B3309"/>
    <w:rsid w:val="009B4CB2"/>
    <w:rsid w:val="009B6701"/>
    <w:rsid w:val="009B6EF7"/>
    <w:rsid w:val="009B7000"/>
    <w:rsid w:val="009B739C"/>
    <w:rsid w:val="009B767D"/>
    <w:rsid w:val="009C04EC"/>
    <w:rsid w:val="009C328C"/>
    <w:rsid w:val="009C4444"/>
    <w:rsid w:val="009C60B2"/>
    <w:rsid w:val="009C79AD"/>
    <w:rsid w:val="009C7CA6"/>
    <w:rsid w:val="009D3316"/>
    <w:rsid w:val="009D55AA"/>
    <w:rsid w:val="009E006F"/>
    <w:rsid w:val="009E3769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0490"/>
    <w:rsid w:val="00A12520"/>
    <w:rsid w:val="00A1285E"/>
    <w:rsid w:val="00A130FD"/>
    <w:rsid w:val="00A138F2"/>
    <w:rsid w:val="00A13D6D"/>
    <w:rsid w:val="00A14769"/>
    <w:rsid w:val="00A16151"/>
    <w:rsid w:val="00A16EC6"/>
    <w:rsid w:val="00A17C06"/>
    <w:rsid w:val="00A2126E"/>
    <w:rsid w:val="00A21706"/>
    <w:rsid w:val="00A24047"/>
    <w:rsid w:val="00A24FCC"/>
    <w:rsid w:val="00A26A90"/>
    <w:rsid w:val="00A26B27"/>
    <w:rsid w:val="00A30E4F"/>
    <w:rsid w:val="00A30F6A"/>
    <w:rsid w:val="00A32253"/>
    <w:rsid w:val="00A327DF"/>
    <w:rsid w:val="00A3310E"/>
    <w:rsid w:val="00A333A0"/>
    <w:rsid w:val="00A37E70"/>
    <w:rsid w:val="00A4120C"/>
    <w:rsid w:val="00A437E1"/>
    <w:rsid w:val="00A43D9C"/>
    <w:rsid w:val="00A441D1"/>
    <w:rsid w:val="00A4685E"/>
    <w:rsid w:val="00A50CD4"/>
    <w:rsid w:val="00A51191"/>
    <w:rsid w:val="00A55107"/>
    <w:rsid w:val="00A55459"/>
    <w:rsid w:val="00A56D62"/>
    <w:rsid w:val="00A56F07"/>
    <w:rsid w:val="00A5762C"/>
    <w:rsid w:val="00A57996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5A0"/>
    <w:rsid w:val="00A81092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1D7"/>
    <w:rsid w:val="00AA1C2C"/>
    <w:rsid w:val="00AA35F6"/>
    <w:rsid w:val="00AA4444"/>
    <w:rsid w:val="00AA476C"/>
    <w:rsid w:val="00AA667C"/>
    <w:rsid w:val="00AA6E91"/>
    <w:rsid w:val="00AA7439"/>
    <w:rsid w:val="00AB047E"/>
    <w:rsid w:val="00AB0B0A"/>
    <w:rsid w:val="00AB0BB7"/>
    <w:rsid w:val="00AB22C6"/>
    <w:rsid w:val="00AB2AD0"/>
    <w:rsid w:val="00AB4686"/>
    <w:rsid w:val="00AB67FC"/>
    <w:rsid w:val="00AC00F2"/>
    <w:rsid w:val="00AC31B5"/>
    <w:rsid w:val="00AC4EA1"/>
    <w:rsid w:val="00AC5381"/>
    <w:rsid w:val="00AC5920"/>
    <w:rsid w:val="00AD0E65"/>
    <w:rsid w:val="00AD1377"/>
    <w:rsid w:val="00AD2BF2"/>
    <w:rsid w:val="00AD4E90"/>
    <w:rsid w:val="00AD5422"/>
    <w:rsid w:val="00AD77BD"/>
    <w:rsid w:val="00AE1E0A"/>
    <w:rsid w:val="00AE4179"/>
    <w:rsid w:val="00AE4425"/>
    <w:rsid w:val="00AE4FBE"/>
    <w:rsid w:val="00AE57D3"/>
    <w:rsid w:val="00AE650F"/>
    <w:rsid w:val="00AE6555"/>
    <w:rsid w:val="00AE7D16"/>
    <w:rsid w:val="00AF375D"/>
    <w:rsid w:val="00AF4CAA"/>
    <w:rsid w:val="00AF571A"/>
    <w:rsid w:val="00AF60A0"/>
    <w:rsid w:val="00AF67FC"/>
    <w:rsid w:val="00AF7DF5"/>
    <w:rsid w:val="00B006E5"/>
    <w:rsid w:val="00B024C2"/>
    <w:rsid w:val="00B07700"/>
    <w:rsid w:val="00B121B6"/>
    <w:rsid w:val="00B13921"/>
    <w:rsid w:val="00B1528C"/>
    <w:rsid w:val="00B16ACD"/>
    <w:rsid w:val="00B21487"/>
    <w:rsid w:val="00B21798"/>
    <w:rsid w:val="00B232D1"/>
    <w:rsid w:val="00B247C4"/>
    <w:rsid w:val="00B24DB5"/>
    <w:rsid w:val="00B2643E"/>
    <w:rsid w:val="00B31F9E"/>
    <w:rsid w:val="00B3268F"/>
    <w:rsid w:val="00B32868"/>
    <w:rsid w:val="00B32C2C"/>
    <w:rsid w:val="00B33005"/>
    <w:rsid w:val="00B33A1A"/>
    <w:rsid w:val="00B33E6C"/>
    <w:rsid w:val="00B371CC"/>
    <w:rsid w:val="00B40AFA"/>
    <w:rsid w:val="00B41CD9"/>
    <w:rsid w:val="00B427E6"/>
    <w:rsid w:val="00B428A6"/>
    <w:rsid w:val="00B43E1F"/>
    <w:rsid w:val="00B4417B"/>
    <w:rsid w:val="00B45FBC"/>
    <w:rsid w:val="00B517CC"/>
    <w:rsid w:val="00B51A7D"/>
    <w:rsid w:val="00B535C2"/>
    <w:rsid w:val="00B55544"/>
    <w:rsid w:val="00B56EA9"/>
    <w:rsid w:val="00B642FC"/>
    <w:rsid w:val="00B64698"/>
    <w:rsid w:val="00B64D26"/>
    <w:rsid w:val="00B64FBB"/>
    <w:rsid w:val="00B706B4"/>
    <w:rsid w:val="00B70E22"/>
    <w:rsid w:val="00B7577B"/>
    <w:rsid w:val="00B774CB"/>
    <w:rsid w:val="00B80402"/>
    <w:rsid w:val="00B80B9A"/>
    <w:rsid w:val="00B81F2F"/>
    <w:rsid w:val="00B830B7"/>
    <w:rsid w:val="00B848EA"/>
    <w:rsid w:val="00B84B2B"/>
    <w:rsid w:val="00B87CA5"/>
    <w:rsid w:val="00B903B1"/>
    <w:rsid w:val="00B90500"/>
    <w:rsid w:val="00B90FD8"/>
    <w:rsid w:val="00B9176C"/>
    <w:rsid w:val="00B91CDF"/>
    <w:rsid w:val="00B935A4"/>
    <w:rsid w:val="00B94A2C"/>
    <w:rsid w:val="00B96245"/>
    <w:rsid w:val="00BA14A8"/>
    <w:rsid w:val="00BA49F2"/>
    <w:rsid w:val="00BA561A"/>
    <w:rsid w:val="00BB0DC6"/>
    <w:rsid w:val="00BB15E4"/>
    <w:rsid w:val="00BB1E19"/>
    <w:rsid w:val="00BB21D1"/>
    <w:rsid w:val="00BB32F2"/>
    <w:rsid w:val="00BB3879"/>
    <w:rsid w:val="00BB4338"/>
    <w:rsid w:val="00BB6C0E"/>
    <w:rsid w:val="00BB7B38"/>
    <w:rsid w:val="00BC0FF9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0F50"/>
    <w:rsid w:val="00BE1B8B"/>
    <w:rsid w:val="00BE2A18"/>
    <w:rsid w:val="00BE2A84"/>
    <w:rsid w:val="00BE2C01"/>
    <w:rsid w:val="00BE2C73"/>
    <w:rsid w:val="00BE41EC"/>
    <w:rsid w:val="00BE56FB"/>
    <w:rsid w:val="00BE5E8C"/>
    <w:rsid w:val="00BF3DDE"/>
    <w:rsid w:val="00BF5633"/>
    <w:rsid w:val="00BF6589"/>
    <w:rsid w:val="00BF6F7F"/>
    <w:rsid w:val="00C00647"/>
    <w:rsid w:val="00C02764"/>
    <w:rsid w:val="00C02CE6"/>
    <w:rsid w:val="00C03A5C"/>
    <w:rsid w:val="00C04CEF"/>
    <w:rsid w:val="00C0662F"/>
    <w:rsid w:val="00C0693D"/>
    <w:rsid w:val="00C07C37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A81"/>
    <w:rsid w:val="00C45EB1"/>
    <w:rsid w:val="00C54A3A"/>
    <w:rsid w:val="00C55566"/>
    <w:rsid w:val="00C56448"/>
    <w:rsid w:val="00C63589"/>
    <w:rsid w:val="00C657D8"/>
    <w:rsid w:val="00C661CC"/>
    <w:rsid w:val="00C667BE"/>
    <w:rsid w:val="00C67281"/>
    <w:rsid w:val="00C6766B"/>
    <w:rsid w:val="00C70718"/>
    <w:rsid w:val="00C71524"/>
    <w:rsid w:val="00C72223"/>
    <w:rsid w:val="00C76417"/>
    <w:rsid w:val="00C7726F"/>
    <w:rsid w:val="00C77E6A"/>
    <w:rsid w:val="00C823DA"/>
    <w:rsid w:val="00C8259F"/>
    <w:rsid w:val="00C82746"/>
    <w:rsid w:val="00C8312F"/>
    <w:rsid w:val="00C84C47"/>
    <w:rsid w:val="00C858A4"/>
    <w:rsid w:val="00C86AFA"/>
    <w:rsid w:val="00C9552C"/>
    <w:rsid w:val="00CA1D00"/>
    <w:rsid w:val="00CA671A"/>
    <w:rsid w:val="00CB18D0"/>
    <w:rsid w:val="00CB1C8A"/>
    <w:rsid w:val="00CB24F5"/>
    <w:rsid w:val="00CB2663"/>
    <w:rsid w:val="00CB37DB"/>
    <w:rsid w:val="00CB383D"/>
    <w:rsid w:val="00CB3BBE"/>
    <w:rsid w:val="00CB59E9"/>
    <w:rsid w:val="00CB7197"/>
    <w:rsid w:val="00CC0D6A"/>
    <w:rsid w:val="00CC3831"/>
    <w:rsid w:val="00CC3E3D"/>
    <w:rsid w:val="00CC519B"/>
    <w:rsid w:val="00CC6A56"/>
    <w:rsid w:val="00CD062A"/>
    <w:rsid w:val="00CD11A6"/>
    <w:rsid w:val="00CD12C1"/>
    <w:rsid w:val="00CD214E"/>
    <w:rsid w:val="00CD2D7A"/>
    <w:rsid w:val="00CD46FA"/>
    <w:rsid w:val="00CD5973"/>
    <w:rsid w:val="00CE1915"/>
    <w:rsid w:val="00CE31A6"/>
    <w:rsid w:val="00CE56EE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C3C"/>
    <w:rsid w:val="00D13B9B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B2"/>
    <w:rsid w:val="00D402FB"/>
    <w:rsid w:val="00D41D26"/>
    <w:rsid w:val="00D47D7A"/>
    <w:rsid w:val="00D50ABD"/>
    <w:rsid w:val="00D52484"/>
    <w:rsid w:val="00D53F38"/>
    <w:rsid w:val="00D55290"/>
    <w:rsid w:val="00D57791"/>
    <w:rsid w:val="00D6046A"/>
    <w:rsid w:val="00D604EE"/>
    <w:rsid w:val="00D60B7D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2F1D"/>
    <w:rsid w:val="00D75075"/>
    <w:rsid w:val="00D760AF"/>
    <w:rsid w:val="00D76EC9"/>
    <w:rsid w:val="00D7787D"/>
    <w:rsid w:val="00D806CD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5B06"/>
    <w:rsid w:val="00D967F6"/>
    <w:rsid w:val="00D96884"/>
    <w:rsid w:val="00DA3FDD"/>
    <w:rsid w:val="00DA4554"/>
    <w:rsid w:val="00DA7017"/>
    <w:rsid w:val="00DA7028"/>
    <w:rsid w:val="00DB1AD2"/>
    <w:rsid w:val="00DB1DF1"/>
    <w:rsid w:val="00DB2B58"/>
    <w:rsid w:val="00DB30F4"/>
    <w:rsid w:val="00DB5206"/>
    <w:rsid w:val="00DB6276"/>
    <w:rsid w:val="00DB63F5"/>
    <w:rsid w:val="00DC1C6B"/>
    <w:rsid w:val="00DC2C2E"/>
    <w:rsid w:val="00DC4AF0"/>
    <w:rsid w:val="00DC7886"/>
    <w:rsid w:val="00DD0CF2"/>
    <w:rsid w:val="00DE0B9F"/>
    <w:rsid w:val="00DE1554"/>
    <w:rsid w:val="00DE2901"/>
    <w:rsid w:val="00DE590F"/>
    <w:rsid w:val="00DE7DC1"/>
    <w:rsid w:val="00DF3F7E"/>
    <w:rsid w:val="00DF400C"/>
    <w:rsid w:val="00DF7648"/>
    <w:rsid w:val="00E00E29"/>
    <w:rsid w:val="00E02BAB"/>
    <w:rsid w:val="00E031F5"/>
    <w:rsid w:val="00E04CEB"/>
    <w:rsid w:val="00E060BC"/>
    <w:rsid w:val="00E10665"/>
    <w:rsid w:val="00E11420"/>
    <w:rsid w:val="00E132FB"/>
    <w:rsid w:val="00E170B7"/>
    <w:rsid w:val="00E177DD"/>
    <w:rsid w:val="00E17C11"/>
    <w:rsid w:val="00E202E5"/>
    <w:rsid w:val="00E20900"/>
    <w:rsid w:val="00E20C7F"/>
    <w:rsid w:val="00E2396E"/>
    <w:rsid w:val="00E24728"/>
    <w:rsid w:val="00E276AC"/>
    <w:rsid w:val="00E33FC7"/>
    <w:rsid w:val="00E34A35"/>
    <w:rsid w:val="00E37C2F"/>
    <w:rsid w:val="00E4033A"/>
    <w:rsid w:val="00E417FB"/>
    <w:rsid w:val="00E41C28"/>
    <w:rsid w:val="00E45B31"/>
    <w:rsid w:val="00E46308"/>
    <w:rsid w:val="00E46859"/>
    <w:rsid w:val="00E51E17"/>
    <w:rsid w:val="00E52DAB"/>
    <w:rsid w:val="00E539B0"/>
    <w:rsid w:val="00E55994"/>
    <w:rsid w:val="00E57466"/>
    <w:rsid w:val="00E60606"/>
    <w:rsid w:val="00E60C66"/>
    <w:rsid w:val="00E614B8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32F"/>
    <w:rsid w:val="00E75C63"/>
    <w:rsid w:val="00E75DDA"/>
    <w:rsid w:val="00E773E8"/>
    <w:rsid w:val="00E833F6"/>
    <w:rsid w:val="00E83ADD"/>
    <w:rsid w:val="00E84F38"/>
    <w:rsid w:val="00E85623"/>
    <w:rsid w:val="00E87441"/>
    <w:rsid w:val="00E8AA4E"/>
    <w:rsid w:val="00E90CF6"/>
    <w:rsid w:val="00E91FAE"/>
    <w:rsid w:val="00E95114"/>
    <w:rsid w:val="00E96E3F"/>
    <w:rsid w:val="00EA270C"/>
    <w:rsid w:val="00EA4974"/>
    <w:rsid w:val="00EA532E"/>
    <w:rsid w:val="00EB06D9"/>
    <w:rsid w:val="00EB192B"/>
    <w:rsid w:val="00EB19ED"/>
    <w:rsid w:val="00EB1CAB"/>
    <w:rsid w:val="00EB33DB"/>
    <w:rsid w:val="00EB60C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761"/>
    <w:rsid w:val="00EF3BA4"/>
    <w:rsid w:val="00EF47AF"/>
    <w:rsid w:val="00EF53B6"/>
    <w:rsid w:val="00F00B73"/>
    <w:rsid w:val="00F041C2"/>
    <w:rsid w:val="00F115CA"/>
    <w:rsid w:val="00F11A6C"/>
    <w:rsid w:val="00F1360A"/>
    <w:rsid w:val="00F14817"/>
    <w:rsid w:val="00F14EBA"/>
    <w:rsid w:val="00F1510F"/>
    <w:rsid w:val="00F1533A"/>
    <w:rsid w:val="00F15E5A"/>
    <w:rsid w:val="00F17F0A"/>
    <w:rsid w:val="00F216C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56B41"/>
    <w:rsid w:val="00F600FE"/>
    <w:rsid w:val="00F6040F"/>
    <w:rsid w:val="00F62E4D"/>
    <w:rsid w:val="00F66B34"/>
    <w:rsid w:val="00F675B9"/>
    <w:rsid w:val="00F711C9"/>
    <w:rsid w:val="00F726FA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292"/>
    <w:rsid w:val="00F87802"/>
    <w:rsid w:val="00F91E38"/>
    <w:rsid w:val="00F92C0A"/>
    <w:rsid w:val="00F9415B"/>
    <w:rsid w:val="00FA13C2"/>
    <w:rsid w:val="00FA25E2"/>
    <w:rsid w:val="00FA2DC0"/>
    <w:rsid w:val="00FA7F91"/>
    <w:rsid w:val="00FB02E8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B0C"/>
    <w:rsid w:val="00FD7468"/>
    <w:rsid w:val="00FD7CE0"/>
    <w:rsid w:val="00FE0B3B"/>
    <w:rsid w:val="00FE1BE2"/>
    <w:rsid w:val="00FE3F6E"/>
    <w:rsid w:val="00FE730A"/>
    <w:rsid w:val="00FF1DD7"/>
    <w:rsid w:val="00FF4453"/>
    <w:rsid w:val="0134D8F3"/>
    <w:rsid w:val="022B0546"/>
    <w:rsid w:val="024F37FA"/>
    <w:rsid w:val="02DD3B1D"/>
    <w:rsid w:val="03300DF3"/>
    <w:rsid w:val="0349871A"/>
    <w:rsid w:val="04A488CF"/>
    <w:rsid w:val="055A4CBC"/>
    <w:rsid w:val="06E99DE1"/>
    <w:rsid w:val="0833C1D0"/>
    <w:rsid w:val="09325DB5"/>
    <w:rsid w:val="09E4A0A4"/>
    <w:rsid w:val="09EBA04C"/>
    <w:rsid w:val="0A3B1711"/>
    <w:rsid w:val="0BCEAB5F"/>
    <w:rsid w:val="0C2A86D8"/>
    <w:rsid w:val="0CDCBE1C"/>
    <w:rsid w:val="0D7D84CB"/>
    <w:rsid w:val="0DD5678F"/>
    <w:rsid w:val="0EABCA98"/>
    <w:rsid w:val="1015885D"/>
    <w:rsid w:val="13438270"/>
    <w:rsid w:val="16B19C11"/>
    <w:rsid w:val="18DA480D"/>
    <w:rsid w:val="19008C16"/>
    <w:rsid w:val="1A657CCE"/>
    <w:rsid w:val="1AD98864"/>
    <w:rsid w:val="1BDAAC96"/>
    <w:rsid w:val="1E2E3CEB"/>
    <w:rsid w:val="219141D0"/>
    <w:rsid w:val="23606BCF"/>
    <w:rsid w:val="244E6A9C"/>
    <w:rsid w:val="263EF256"/>
    <w:rsid w:val="2659D97A"/>
    <w:rsid w:val="27E8C276"/>
    <w:rsid w:val="2913D61B"/>
    <w:rsid w:val="29B07AD8"/>
    <w:rsid w:val="2E246AF8"/>
    <w:rsid w:val="2EC7B888"/>
    <w:rsid w:val="2EFC225C"/>
    <w:rsid w:val="2F249329"/>
    <w:rsid w:val="2FE2F1E5"/>
    <w:rsid w:val="3038D380"/>
    <w:rsid w:val="31FC4D57"/>
    <w:rsid w:val="34DBD58F"/>
    <w:rsid w:val="3509D2CB"/>
    <w:rsid w:val="36D6A3E5"/>
    <w:rsid w:val="38222AAB"/>
    <w:rsid w:val="3885B067"/>
    <w:rsid w:val="3A4E73F5"/>
    <w:rsid w:val="3C5D1933"/>
    <w:rsid w:val="3C8287FA"/>
    <w:rsid w:val="3D2ACCD7"/>
    <w:rsid w:val="3D3E0160"/>
    <w:rsid w:val="3FEBB9EA"/>
    <w:rsid w:val="408FE7E4"/>
    <w:rsid w:val="411AC134"/>
    <w:rsid w:val="429CE617"/>
    <w:rsid w:val="4501CA23"/>
    <w:rsid w:val="45AF61FE"/>
    <w:rsid w:val="46751048"/>
    <w:rsid w:val="46BFE792"/>
    <w:rsid w:val="46EE0DAD"/>
    <w:rsid w:val="47E7CCCD"/>
    <w:rsid w:val="49AF64A6"/>
    <w:rsid w:val="49ECC2AA"/>
    <w:rsid w:val="4B8F85DE"/>
    <w:rsid w:val="4C0C0C22"/>
    <w:rsid w:val="4CEA3DF1"/>
    <w:rsid w:val="509D7F13"/>
    <w:rsid w:val="5179542A"/>
    <w:rsid w:val="518F290C"/>
    <w:rsid w:val="51C54981"/>
    <w:rsid w:val="53033883"/>
    <w:rsid w:val="53D61906"/>
    <w:rsid w:val="5528F75E"/>
    <w:rsid w:val="5663B62A"/>
    <w:rsid w:val="56915FA5"/>
    <w:rsid w:val="569868B6"/>
    <w:rsid w:val="5A40EFF1"/>
    <w:rsid w:val="5A8374BA"/>
    <w:rsid w:val="5C4A96C8"/>
    <w:rsid w:val="5DA34170"/>
    <w:rsid w:val="5E5DBB73"/>
    <w:rsid w:val="5E75C20C"/>
    <w:rsid w:val="5F36092D"/>
    <w:rsid w:val="5F5B3017"/>
    <w:rsid w:val="60491D21"/>
    <w:rsid w:val="606D57ED"/>
    <w:rsid w:val="60B6AC06"/>
    <w:rsid w:val="6145BA42"/>
    <w:rsid w:val="6197684B"/>
    <w:rsid w:val="628DC08E"/>
    <w:rsid w:val="62BFEC79"/>
    <w:rsid w:val="62DD96C2"/>
    <w:rsid w:val="6316D48C"/>
    <w:rsid w:val="63640FFD"/>
    <w:rsid w:val="64DB399B"/>
    <w:rsid w:val="656E7E3F"/>
    <w:rsid w:val="664E0F41"/>
    <w:rsid w:val="686EBB44"/>
    <w:rsid w:val="6996A627"/>
    <w:rsid w:val="6A0563F6"/>
    <w:rsid w:val="6AA0149C"/>
    <w:rsid w:val="6C1A9118"/>
    <w:rsid w:val="6C2EDDB0"/>
    <w:rsid w:val="6D1BA069"/>
    <w:rsid w:val="6D841F14"/>
    <w:rsid w:val="6E0FDE7A"/>
    <w:rsid w:val="6EF27880"/>
    <w:rsid w:val="71A66E20"/>
    <w:rsid w:val="71E0C041"/>
    <w:rsid w:val="73700D29"/>
    <w:rsid w:val="766AF922"/>
    <w:rsid w:val="7A66E984"/>
    <w:rsid w:val="7ACB2121"/>
    <w:rsid w:val="7AFEB629"/>
    <w:rsid w:val="7B2B970D"/>
    <w:rsid w:val="7BB0FB47"/>
    <w:rsid w:val="7DEDC913"/>
    <w:rsid w:val="7ECC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680C6"/>
  <w15:docId w15:val="{975DD5F8-43BC-4D1F-9A74-825708FC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91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2913"/>
    <w:pPr>
      <w:keepNext/>
      <w:widowControl/>
      <w:autoSpaceDE/>
      <w:autoSpaceDN/>
      <w:adjustRightInd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9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C0FF9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rsid w:val="00E9511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11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30451D"/>
    <w:rPr>
      <w:rFonts w:cs="Times New Roman"/>
      <w:szCs w:val="24"/>
    </w:rPr>
  </w:style>
  <w:style w:type="paragraph" w:styleId="Akapitzlist">
    <w:name w:val="List Paragraph"/>
    <w:aliases w:val="Numerowanie,Akapit z listą BS,Kolorowa lista — akcent 11,Dot pt,F5 List Paragraph,Recommendation,List Paragraph11,lp1,Preambuła"/>
    <w:basedOn w:val="Normalny"/>
    <w:uiPriority w:val="34"/>
    <w:qFormat/>
    <w:rsid w:val="004D2913"/>
    <w:pPr>
      <w:ind w:left="720"/>
      <w:contextualSpacing/>
    </w:pPr>
  </w:style>
  <w:style w:type="character" w:customStyle="1" w:styleId="normaltextrun">
    <w:name w:val="normaltextrun"/>
    <w:basedOn w:val="Domylnaczcionkaakapitu"/>
    <w:rsid w:val="004D2913"/>
  </w:style>
  <w:style w:type="character" w:customStyle="1" w:styleId="eop">
    <w:name w:val="eop"/>
    <w:basedOn w:val="Domylnaczcionkaakapitu"/>
    <w:rsid w:val="004D2913"/>
  </w:style>
  <w:style w:type="character" w:customStyle="1" w:styleId="Nagwek3Znak">
    <w:name w:val="Nagłówek 3 Znak"/>
    <w:basedOn w:val="Domylnaczcionkaakapitu"/>
    <w:link w:val="Nagwek3"/>
    <w:rsid w:val="004D2913"/>
    <w:rPr>
      <w:rFonts w:ascii="Arial" w:hAnsi="Arial" w:cs="Arial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913"/>
    <w:pPr>
      <w:widowControl/>
      <w:autoSpaceDE/>
      <w:autoSpaceDN/>
      <w:adjustRightInd/>
      <w:spacing w:line="240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913"/>
    <w:rPr>
      <w:rFonts w:ascii="Calibri" w:eastAsia="Calibri" w:hAnsi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4D2913"/>
    <w:rPr>
      <w:vertAlign w:val="superscript"/>
    </w:rPr>
  </w:style>
  <w:style w:type="character" w:styleId="UyteHipercze">
    <w:name w:val="FollowedHyperlink"/>
    <w:uiPriority w:val="99"/>
    <w:semiHidden/>
    <w:unhideWhenUsed/>
    <w:rsid w:val="004D2913"/>
    <w:rPr>
      <w:color w:val="800080"/>
      <w:u w:val="single"/>
    </w:rPr>
  </w:style>
  <w:style w:type="paragraph" w:customStyle="1" w:styleId="Default">
    <w:name w:val="Default"/>
    <w:rsid w:val="004D2913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customStyle="1" w:styleId="Style5">
    <w:name w:val="Style5"/>
    <w:basedOn w:val="Normalny"/>
    <w:rsid w:val="004D2913"/>
    <w:pPr>
      <w:spacing w:line="240" w:lineRule="auto"/>
    </w:pPr>
    <w:rPr>
      <w:rFonts w:eastAsia="Times New Roman" w:cs="Times New Roman"/>
      <w:szCs w:val="24"/>
    </w:rPr>
  </w:style>
  <w:style w:type="character" w:customStyle="1" w:styleId="ui-provider">
    <w:name w:val="ui-provider"/>
    <w:basedOn w:val="Domylnaczcionkaakapitu"/>
    <w:rsid w:val="004D2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50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18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42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9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18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97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69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82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70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638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3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1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9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604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66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65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4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49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0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20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67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35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2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39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7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zulc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6639EFEB344937970989928C794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A55AB-014F-436E-B9ED-DA404D8DC1BD}"/>
      </w:docPartPr>
      <w:docPartBody>
        <w:p w:rsidR="00F65329" w:rsidRDefault="0051648E" w:rsidP="0051648E">
          <w:pPr>
            <w:pStyle w:val="DB6639EFEB344937970989928C79495B"/>
          </w:pPr>
          <w:r w:rsidRPr="008D2484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8E"/>
    <w:rsid w:val="000234F3"/>
    <w:rsid w:val="00171430"/>
    <w:rsid w:val="00194E37"/>
    <w:rsid w:val="001A7632"/>
    <w:rsid w:val="00200912"/>
    <w:rsid w:val="002D3234"/>
    <w:rsid w:val="0051648E"/>
    <w:rsid w:val="005169F3"/>
    <w:rsid w:val="00562990"/>
    <w:rsid w:val="005B3B6F"/>
    <w:rsid w:val="00611280"/>
    <w:rsid w:val="00632F4F"/>
    <w:rsid w:val="00652128"/>
    <w:rsid w:val="00A765A0"/>
    <w:rsid w:val="00AD7358"/>
    <w:rsid w:val="00D41D26"/>
    <w:rsid w:val="00F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1648E"/>
    <w:rPr>
      <w:color w:val="808080"/>
    </w:rPr>
  </w:style>
  <w:style w:type="paragraph" w:customStyle="1" w:styleId="DB6639EFEB344937970989928C79495B">
    <w:name w:val="DB6639EFEB344937970989928C79495B"/>
    <w:rsid w:val="00516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111</TotalTime>
  <Pages>26</Pages>
  <Words>8032</Words>
  <Characters>48194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Manager/>
  <Company>&lt;nazwa organu&gt;</Company>
  <LinksUpToDate>false</LinksUpToDate>
  <CharactersWithSpaces>56114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Wójtowicz Maria</dc:creator>
  <cp:lastModifiedBy>Witkowska-Krzymowska Magdalena</cp:lastModifiedBy>
  <cp:revision>12</cp:revision>
  <cp:lastPrinted>2012-04-23T06:39:00Z</cp:lastPrinted>
  <dcterms:created xsi:type="dcterms:W3CDTF">2025-09-17T10:56:00Z</dcterms:created>
  <dcterms:modified xsi:type="dcterms:W3CDTF">2025-09-18T08:21:00Z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SIP_Label_e2e05055-e449-4922-9b24-eaf69810da98_Enabled">
    <vt:lpwstr>true</vt:lpwstr>
  </property>
  <property fmtid="{D5CDD505-2E9C-101B-9397-08002B2CF9AE}" pid="5" name="MSIP_Label_e2e05055-e449-4922-9b24-eaf69810da98_SetDate">
    <vt:lpwstr>2025-06-18T09:19:38Z</vt:lpwstr>
  </property>
  <property fmtid="{D5CDD505-2E9C-101B-9397-08002B2CF9AE}" pid="6" name="MSIP_Label_e2e05055-e449-4922-9b24-eaf69810da98_Method">
    <vt:lpwstr>Privileged</vt:lpwstr>
  </property>
  <property fmtid="{D5CDD505-2E9C-101B-9397-08002B2CF9AE}" pid="7" name="MSIP_Label_e2e05055-e449-4922-9b24-eaf69810da98_Name">
    <vt:lpwstr>e2e05055-e449-4922-9b24-eaf69810da98</vt:lpwstr>
  </property>
  <property fmtid="{D5CDD505-2E9C-101B-9397-08002B2CF9AE}" pid="8" name="MSIP_Label_e2e05055-e449-4922-9b24-eaf69810da98_SiteId">
    <vt:lpwstr>29bb5b9c-200a-4906-89ef-c651c86ab301</vt:lpwstr>
  </property>
  <property fmtid="{D5CDD505-2E9C-101B-9397-08002B2CF9AE}" pid="9" name="MSIP_Label_e2e05055-e449-4922-9b24-eaf69810da98_ActionId">
    <vt:lpwstr>b38ee066-8791-4326-906b-5a9677f8c110</vt:lpwstr>
  </property>
  <property fmtid="{D5CDD505-2E9C-101B-9397-08002B2CF9AE}" pid="10" name="MSIP_Label_e2e05055-e449-4922-9b24-eaf69810da98_ContentBits">
    <vt:lpwstr>0</vt:lpwstr>
  </property>
  <property fmtid="{D5CDD505-2E9C-101B-9397-08002B2CF9AE}" pid="11" name="MSIP_Label_e2e05055-e449-4922-9b24-eaf69810da98_Tag">
    <vt:lpwstr>10, 0, 1, 1</vt:lpwstr>
  </property>
</Properties>
</file>