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3D35" w14:textId="77777777" w:rsidR="00C473C7" w:rsidRPr="009E2D96" w:rsidRDefault="00C473C7" w:rsidP="00A2053B">
      <w:pPr>
        <w:pStyle w:val="Nagwek1"/>
        <w:shd w:val="clear" w:color="auto" w:fill="FFFFFF"/>
        <w:spacing w:before="0"/>
        <w:jc w:val="center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9E2D96">
        <w:rPr>
          <w:rFonts w:ascii="Calibri" w:hAnsi="Calibri" w:cs="Calibri"/>
          <w:b/>
          <w:bCs/>
          <w:color w:val="333333"/>
          <w:sz w:val="28"/>
          <w:szCs w:val="28"/>
        </w:rPr>
        <w:t>Cyfrowa dekada - konsultacje społeczne</w:t>
      </w:r>
    </w:p>
    <w:p w14:paraId="6078D523" w14:textId="05317CD8" w:rsidR="008D0915" w:rsidRPr="00032F61" w:rsidRDefault="00A62515" w:rsidP="008D0915">
      <w:pPr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(ścieżka wypełnienia dla instytucji/organizacji)</w:t>
      </w:r>
    </w:p>
    <w:p w14:paraId="4502716A" w14:textId="77777777" w:rsidR="00A62515" w:rsidRPr="00032F61" w:rsidRDefault="00A62515" w:rsidP="008D0915">
      <w:pPr>
        <w:rPr>
          <w:rFonts w:ascii="Calibri" w:hAnsi="Calibri" w:cs="Calibri"/>
          <w:sz w:val="22"/>
          <w:szCs w:val="22"/>
        </w:rPr>
      </w:pPr>
    </w:p>
    <w:p w14:paraId="7B23DC67" w14:textId="6450267E" w:rsidR="008D0915" w:rsidRPr="00032F61" w:rsidRDefault="00C11C02" w:rsidP="008D0915">
      <w:pPr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Przygotowujemy Krajowy plan działania do „</w:t>
      </w:r>
      <w:hyperlink r:id="rId5" w:history="1">
        <w:r w:rsidRPr="00032F61">
          <w:rPr>
            <w:rStyle w:val="Hipercze"/>
            <w:rFonts w:ascii="Calibri" w:hAnsi="Calibri" w:cs="Calibri"/>
            <w:sz w:val="22"/>
            <w:szCs w:val="22"/>
          </w:rPr>
          <w:t>Cyfrowej dekady</w:t>
        </w:r>
      </w:hyperlink>
      <w:r w:rsidRPr="00032F61">
        <w:rPr>
          <w:rFonts w:ascii="Calibri" w:hAnsi="Calibri" w:cs="Calibri"/>
          <w:sz w:val="22"/>
          <w:szCs w:val="22"/>
        </w:rPr>
        <w:t>” do 2030 roku. Chcielibyśmy w nim umieścić również Twoje pomysły. Pamiętaj, że propozycje działań powinny się odnosić do zagadnień i celów Cyfrowej dekady. Szacowany czas uzupełnienia to 10 minut. Ankieta będzie dostępna do 16 czerwca 2023 r.</w:t>
      </w:r>
    </w:p>
    <w:p w14:paraId="018AE653" w14:textId="77777777" w:rsidR="008A2F0D" w:rsidRPr="00032F61" w:rsidRDefault="008A2F0D" w:rsidP="008D0915">
      <w:pPr>
        <w:rPr>
          <w:rFonts w:ascii="Calibri" w:hAnsi="Calibri" w:cs="Calibri"/>
          <w:sz w:val="22"/>
          <w:szCs w:val="22"/>
        </w:rPr>
      </w:pPr>
    </w:p>
    <w:p w14:paraId="5131413D" w14:textId="1B52DF73" w:rsidR="008A2F0D" w:rsidRPr="00A2053B" w:rsidRDefault="008A2F0D" w:rsidP="008A2F0D">
      <w:pPr>
        <w:spacing w:after="120"/>
        <w:rPr>
          <w:rFonts w:ascii="Calibri" w:hAnsi="Calibri" w:cs="Calibri"/>
          <w:b/>
          <w:bCs/>
          <w:sz w:val="22"/>
          <w:szCs w:val="22"/>
          <w:u w:val="single"/>
        </w:rPr>
      </w:pPr>
      <w:r w:rsidRPr="00A2053B">
        <w:rPr>
          <w:rFonts w:ascii="Calibri" w:hAnsi="Calibri" w:cs="Calibri"/>
          <w:b/>
          <w:bCs/>
          <w:sz w:val="22"/>
          <w:szCs w:val="22"/>
          <w:u w:val="single"/>
        </w:rPr>
        <w:t>Cele cyfrow</w:t>
      </w:r>
      <w:r w:rsidR="00567EEA" w:rsidRPr="00A2053B">
        <w:rPr>
          <w:rFonts w:ascii="Calibri" w:hAnsi="Calibri" w:cs="Calibri"/>
          <w:b/>
          <w:bCs/>
          <w:sz w:val="22"/>
          <w:szCs w:val="22"/>
          <w:u w:val="single"/>
        </w:rPr>
        <w:t>e</w:t>
      </w:r>
      <w:r w:rsidRPr="00A2053B">
        <w:rPr>
          <w:rFonts w:ascii="Calibri" w:hAnsi="Calibri" w:cs="Calibri"/>
          <w:b/>
          <w:bCs/>
          <w:sz w:val="22"/>
          <w:szCs w:val="22"/>
          <w:u w:val="single"/>
        </w:rPr>
        <w:t xml:space="preserve"> UE:</w:t>
      </w:r>
    </w:p>
    <w:p w14:paraId="69A0B11A" w14:textId="77777777" w:rsidR="008A2F0D" w:rsidRPr="00032F61" w:rsidRDefault="008A2F0D" w:rsidP="008A2F0D">
      <w:pPr>
        <w:numPr>
          <w:ilvl w:val="0"/>
          <w:numId w:val="3"/>
        </w:numPr>
        <w:shd w:val="clear" w:color="auto" w:fill="FFFFFF"/>
        <w:spacing w:after="120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b/>
          <w:bCs/>
          <w:color w:val="1B1B1B"/>
          <w:sz w:val="22"/>
          <w:szCs w:val="22"/>
        </w:rPr>
        <w:t>Wykwalifikowane cyfrowo społeczeństwo i wysoko wykwalifikowani profesjonaliści w dziedzinie cyfrowej, z dbałością o osiągnięcie równowagi płci</w:t>
      </w:r>
      <w:r w:rsidRPr="00032F61">
        <w:rPr>
          <w:rFonts w:ascii="Calibri" w:hAnsi="Calibri" w:cs="Calibri"/>
          <w:color w:val="1B1B1B"/>
          <w:sz w:val="22"/>
          <w:szCs w:val="22"/>
        </w:rPr>
        <w:t>: co najmniej 80 % osób w wieku 16–74 lat posiada przynajmniej podstawowe umiejętności cyfrowe oraz co najmniej 20 mln specjalistów w dziedzinie ICT jest zatrudnionych w Unii – przy promowaniu dostępu kobiet do tej dziedziny oraz zwiększeniu liczby absolwentów kierunków związanych z ICT;</w:t>
      </w:r>
    </w:p>
    <w:p w14:paraId="54B71A85" w14:textId="77777777" w:rsidR="008A2F0D" w:rsidRPr="00032F61" w:rsidRDefault="008A2F0D" w:rsidP="008A2F0D">
      <w:pPr>
        <w:numPr>
          <w:ilvl w:val="0"/>
          <w:numId w:val="3"/>
        </w:numPr>
        <w:shd w:val="clear" w:color="auto" w:fill="FFFFFF"/>
        <w:spacing w:after="120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b/>
          <w:bCs/>
          <w:color w:val="1B1B1B"/>
          <w:sz w:val="22"/>
          <w:szCs w:val="22"/>
        </w:rPr>
        <w:t>Bezpieczne, odporne, wydajne i zrównoważone infrastruktury cyfrowe</w:t>
      </w:r>
      <w:r w:rsidRPr="00032F61">
        <w:rPr>
          <w:rFonts w:ascii="Calibri" w:hAnsi="Calibri" w:cs="Calibri"/>
          <w:color w:val="1B1B1B"/>
          <w:sz w:val="22"/>
          <w:szCs w:val="22"/>
        </w:rPr>
        <w:t> m.in. wszyscy użytkownicy końcowi przebywający w stałej lokalizacji są objęci siecią gigabitową aż do punktu zakończenia sieci, a wszystkie obszary zaludnione są objęte ultraszybką siecią bezprzewodową nowej generacji o wydajności dorównującej co najmniej sieci 5G; produkcja najnowocześniejszych półprzewodników w Unii stanowi co najmniej 20 % wartości produkcji światowej; co najmniej 10 000 neutralnych dla klimatu węzłów brzegowych jest wdrożonych niezależnie od lokalizacji przedsiębiorstwa; do 2025 r. Unia dysponuje swoim pierwszym komputerem z przyspieszeniem kwantowym;</w:t>
      </w:r>
    </w:p>
    <w:p w14:paraId="0F81459F" w14:textId="77777777" w:rsidR="008A2F0D" w:rsidRPr="00032F61" w:rsidRDefault="008A2F0D" w:rsidP="008A2F0D">
      <w:pPr>
        <w:numPr>
          <w:ilvl w:val="0"/>
          <w:numId w:val="3"/>
        </w:numPr>
        <w:shd w:val="clear" w:color="auto" w:fill="FFFFFF"/>
        <w:spacing w:after="120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b/>
          <w:bCs/>
          <w:color w:val="1B1B1B"/>
          <w:sz w:val="22"/>
          <w:szCs w:val="22"/>
        </w:rPr>
        <w:t>Transformacja cyfrowa przedsiębiorstw:</w:t>
      </w:r>
      <w:r w:rsidRPr="00032F61">
        <w:rPr>
          <w:rFonts w:ascii="Calibri" w:hAnsi="Calibri" w:cs="Calibri"/>
          <w:color w:val="1B1B1B"/>
          <w:sz w:val="22"/>
          <w:szCs w:val="22"/>
        </w:rPr>
        <w:t xml:space="preserve"> co najmniej 75 % przedsiębiorstw unijnych korzysta z co najmniej jednego z działań, tj. usług przetwarzania w chmurze, dużych zbiorów danych, sztucznej inteligencji; ponad 90 % unijnych MŚP osiągnęło co najmniej podstawowy poziom wskaźnika wykorzystania technologii cyfrowych; Unia ułatwia rozwój innowacyjnych przedsiębiorstw </w:t>
      </w:r>
      <w:proofErr w:type="spellStart"/>
      <w:r w:rsidRPr="00032F61">
        <w:rPr>
          <w:rFonts w:ascii="Calibri" w:hAnsi="Calibri" w:cs="Calibri"/>
          <w:color w:val="1B1B1B"/>
          <w:sz w:val="22"/>
          <w:szCs w:val="22"/>
        </w:rPr>
        <w:t>scale-up</w:t>
      </w:r>
      <w:proofErr w:type="spellEnd"/>
      <w:r w:rsidRPr="00032F61">
        <w:rPr>
          <w:rFonts w:ascii="Calibri" w:hAnsi="Calibri" w:cs="Calibri"/>
          <w:color w:val="1B1B1B"/>
          <w:sz w:val="22"/>
          <w:szCs w:val="22"/>
        </w:rPr>
        <w:t xml:space="preserve"> i poprawia ich dostęp do finansowania, dzięki czemu co najmniej podwoiła się liczba jednorożców;</w:t>
      </w:r>
    </w:p>
    <w:p w14:paraId="6D58AE6A" w14:textId="77777777" w:rsidR="008A2F0D" w:rsidRPr="00032F61" w:rsidRDefault="008A2F0D" w:rsidP="008A2F0D">
      <w:pPr>
        <w:numPr>
          <w:ilvl w:val="0"/>
          <w:numId w:val="3"/>
        </w:numPr>
        <w:shd w:val="clear" w:color="auto" w:fill="FFFFFF"/>
        <w:spacing w:after="120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b/>
          <w:bCs/>
          <w:color w:val="1B1B1B"/>
          <w:sz w:val="22"/>
          <w:szCs w:val="22"/>
        </w:rPr>
        <w:t>Cyfryzacja usług publicznych</w:t>
      </w:r>
      <w:r w:rsidRPr="00032F61">
        <w:rPr>
          <w:rFonts w:ascii="Calibri" w:hAnsi="Calibri" w:cs="Calibri"/>
          <w:color w:val="1B1B1B"/>
          <w:sz w:val="22"/>
          <w:szCs w:val="22"/>
        </w:rPr>
        <w:t>: 100 % kluczowych usług publicznych jest dostępnych online dla obywateli i przedsiębiorstw w Unii; 100 % obywateli Unii ma dostęp do swojej elektronicznej dokumentacji medycznej; 100 % obywateli Unii ma dostęp do środków w zakresie identyfikacji elektronicznej (</w:t>
      </w:r>
      <w:proofErr w:type="spellStart"/>
      <w:r w:rsidRPr="00032F61">
        <w:rPr>
          <w:rFonts w:ascii="Calibri" w:hAnsi="Calibri" w:cs="Calibri"/>
          <w:color w:val="1B1B1B"/>
          <w:sz w:val="22"/>
          <w:szCs w:val="22"/>
        </w:rPr>
        <w:t>eID</w:t>
      </w:r>
      <w:proofErr w:type="spellEnd"/>
      <w:r w:rsidRPr="00032F61">
        <w:rPr>
          <w:rFonts w:ascii="Calibri" w:hAnsi="Calibri" w:cs="Calibri"/>
          <w:color w:val="1B1B1B"/>
          <w:sz w:val="22"/>
          <w:szCs w:val="22"/>
        </w:rPr>
        <w:t>) uznawanych w całej Unii i zapewniających im pełną kontrolę nad transakcjami wymagającymi weryfikacji tożsamości i nad udostępnianymi danymi osobowymi.</w:t>
      </w:r>
    </w:p>
    <w:p w14:paraId="7E28078C" w14:textId="77777777" w:rsidR="008A2F0D" w:rsidRPr="00032F61" w:rsidRDefault="008A2F0D" w:rsidP="008A2F0D">
      <w:pPr>
        <w:shd w:val="clear" w:color="auto" w:fill="FFFFFF"/>
        <w:spacing w:after="120"/>
        <w:textAlignment w:val="baseline"/>
        <w:rPr>
          <w:rFonts w:ascii="Calibri" w:eastAsiaTheme="minorHAns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b/>
          <w:bCs/>
          <w:color w:val="1B1B1B"/>
          <w:sz w:val="22"/>
          <w:szCs w:val="22"/>
        </w:rPr>
        <w:t>Cele ogólne</w:t>
      </w:r>
      <w:r w:rsidRPr="00032F61">
        <w:rPr>
          <w:rFonts w:ascii="Calibri" w:hAnsi="Calibri" w:cs="Calibri"/>
          <w:color w:val="1B1B1B"/>
          <w:sz w:val="22"/>
          <w:szCs w:val="22"/>
        </w:rPr>
        <w:t> do wspierania i osiągania na szczeblu Unii Europejskiej, określone w art. 3 decyzji, obejmują promowanie, wzmacnianie i rozwijanie m.in.:</w:t>
      </w:r>
    </w:p>
    <w:p w14:paraId="60B68D8E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 xml:space="preserve">skoncentrowanego na człowieku i opartego na prawach podstawowych, </w:t>
      </w:r>
      <w:proofErr w:type="spellStart"/>
      <w:r w:rsidRPr="00032F61">
        <w:rPr>
          <w:rFonts w:ascii="Calibri" w:hAnsi="Calibri" w:cs="Calibri"/>
          <w:color w:val="1B1B1B"/>
          <w:sz w:val="22"/>
          <w:szCs w:val="22"/>
        </w:rPr>
        <w:t>inkluzywnego</w:t>
      </w:r>
      <w:proofErr w:type="spellEnd"/>
      <w:r w:rsidRPr="00032F61">
        <w:rPr>
          <w:rFonts w:ascii="Calibri" w:hAnsi="Calibri" w:cs="Calibri"/>
          <w:color w:val="1B1B1B"/>
          <w:sz w:val="22"/>
          <w:szCs w:val="22"/>
        </w:rPr>
        <w:t>, przejrzystego i otwartego środowiska cyfrowego;</w:t>
      </w:r>
    </w:p>
    <w:p w14:paraId="566158A0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>zbiorowej odporności i niwelowania przepaści cyfrowej;</w:t>
      </w:r>
    </w:p>
    <w:p w14:paraId="6F91DC5F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>strategicznej, cyfrowej suwerenności Unii;</w:t>
      </w:r>
    </w:p>
    <w:p w14:paraId="49C01814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>zdolności cyfrowych;</w:t>
      </w:r>
    </w:p>
    <w:p w14:paraId="6968A2EF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 xml:space="preserve">kompleksowego i zrównoważonego ekosystemu </w:t>
      </w:r>
      <w:proofErr w:type="spellStart"/>
      <w:r w:rsidRPr="00032F61">
        <w:rPr>
          <w:rFonts w:ascii="Calibri" w:hAnsi="Calibri" w:cs="Calibri"/>
          <w:color w:val="1B1B1B"/>
          <w:sz w:val="22"/>
          <w:szCs w:val="22"/>
        </w:rPr>
        <w:t>interoperacyjnej</w:t>
      </w:r>
      <w:proofErr w:type="spellEnd"/>
      <w:r w:rsidRPr="00032F61">
        <w:rPr>
          <w:rFonts w:ascii="Calibri" w:hAnsi="Calibri" w:cs="Calibri"/>
          <w:color w:val="1B1B1B"/>
          <w:sz w:val="22"/>
          <w:szCs w:val="22"/>
        </w:rPr>
        <w:t xml:space="preserve"> infrastruktury cyfrowej;</w:t>
      </w:r>
    </w:p>
    <w:p w14:paraId="6E3FABB3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>unijnego, cyfrowego otoczenia regulacyjnego;</w:t>
      </w:r>
    </w:p>
    <w:p w14:paraId="1BAADC0E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 xml:space="preserve">udziału online w życiu demokratycznym oraz bezpiecznego środowiska usług publicznych online; zrównoważonych, odpornych oraz </w:t>
      </w:r>
      <w:proofErr w:type="spellStart"/>
      <w:r w:rsidRPr="00032F61">
        <w:rPr>
          <w:rFonts w:ascii="Calibri" w:hAnsi="Calibri" w:cs="Calibri"/>
          <w:color w:val="1B1B1B"/>
          <w:sz w:val="22"/>
          <w:szCs w:val="22"/>
        </w:rPr>
        <w:t>energo</w:t>
      </w:r>
      <w:proofErr w:type="spellEnd"/>
      <w:r w:rsidRPr="00032F61">
        <w:rPr>
          <w:rFonts w:ascii="Calibri" w:hAnsi="Calibri" w:cs="Calibri"/>
          <w:color w:val="1B1B1B"/>
          <w:sz w:val="22"/>
          <w:szCs w:val="22"/>
        </w:rPr>
        <w:t xml:space="preserve">- i </w:t>
      </w:r>
      <w:proofErr w:type="spellStart"/>
      <w:r w:rsidRPr="00032F61">
        <w:rPr>
          <w:rFonts w:ascii="Calibri" w:hAnsi="Calibri" w:cs="Calibri"/>
          <w:color w:val="1B1B1B"/>
          <w:sz w:val="22"/>
          <w:szCs w:val="22"/>
        </w:rPr>
        <w:t>zasobooszczędnych</w:t>
      </w:r>
      <w:proofErr w:type="spellEnd"/>
      <w:r w:rsidRPr="00032F61">
        <w:rPr>
          <w:rFonts w:ascii="Calibri" w:hAnsi="Calibri" w:cs="Calibri"/>
          <w:color w:val="1B1B1B"/>
          <w:sz w:val="22"/>
          <w:szCs w:val="22"/>
        </w:rPr>
        <w:t xml:space="preserve"> infrastruktur i technologii, w tym łańcuchów dostaw;</w:t>
      </w:r>
    </w:p>
    <w:p w14:paraId="04C8B977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>sprawiedliwych i niedyskryminacyjnych warunków dla użytkowników;</w:t>
      </w:r>
    </w:p>
    <w:p w14:paraId="237FBC6F" w14:textId="77777777" w:rsidR="008A2F0D" w:rsidRPr="00032F61" w:rsidRDefault="008A2F0D" w:rsidP="008A2F0D">
      <w:pPr>
        <w:numPr>
          <w:ilvl w:val="0"/>
          <w:numId w:val="4"/>
        </w:numPr>
        <w:shd w:val="clear" w:color="auto" w:fill="FFFFFF"/>
        <w:ind w:left="714" w:hanging="357"/>
        <w:textAlignment w:val="baseline"/>
        <w:rPr>
          <w:rFonts w:ascii="Calibri" w:hAnsi="Calibri" w:cs="Calibri"/>
          <w:color w:val="1B1B1B"/>
          <w:sz w:val="22"/>
          <w:szCs w:val="22"/>
        </w:rPr>
      </w:pPr>
      <w:r w:rsidRPr="00032F61">
        <w:rPr>
          <w:rFonts w:ascii="Calibri" w:hAnsi="Calibri" w:cs="Calibri"/>
          <w:color w:val="1B1B1B"/>
          <w:sz w:val="22"/>
          <w:szCs w:val="22"/>
        </w:rPr>
        <w:t>europejskiej zielonej i cyfrowej transformacji, poprzez efektywną koordynację i spójność polityk oraz unikanie powielania działań i minimalizowanie obciążeń administracyjnych.</w:t>
      </w:r>
    </w:p>
    <w:p w14:paraId="036F7492" w14:textId="702F24F9" w:rsidR="00B24AD6" w:rsidRPr="009E2D96" w:rsidRDefault="00B24AD6" w:rsidP="00A2053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E2D96">
        <w:rPr>
          <w:rFonts w:ascii="Calibri" w:hAnsi="Calibri" w:cs="Calibri"/>
          <w:b/>
          <w:bCs/>
          <w:sz w:val="28"/>
          <w:szCs w:val="28"/>
        </w:rPr>
        <w:lastRenderedPageBreak/>
        <w:t>Ankieta</w:t>
      </w:r>
    </w:p>
    <w:p w14:paraId="30B6D23B" w14:textId="77777777" w:rsidR="00B24AD6" w:rsidRPr="00032F61" w:rsidRDefault="00B24AD6" w:rsidP="008D0915">
      <w:pPr>
        <w:rPr>
          <w:rFonts w:ascii="Calibri" w:hAnsi="Calibri" w:cs="Calibri"/>
          <w:sz w:val="22"/>
          <w:szCs w:val="22"/>
        </w:rPr>
      </w:pPr>
    </w:p>
    <w:p w14:paraId="29CB66FE" w14:textId="25C14B38" w:rsidR="008D0915" w:rsidRPr="00032F61" w:rsidRDefault="008D0915" w:rsidP="008D0915">
      <w:pPr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Uzupełniam ankietę jako:</w:t>
      </w:r>
    </w:p>
    <w:p w14:paraId="7B3AE8D3" w14:textId="77777777" w:rsidR="008D0915" w:rsidRPr="00032F61" w:rsidRDefault="00A2053B" w:rsidP="008D0915">
      <w:pPr>
        <w:spacing w:line="260" w:lineRule="exact"/>
        <w:ind w:firstLine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87414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15" w:rsidRPr="00032F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915" w:rsidRPr="00032F61">
        <w:rPr>
          <w:rFonts w:ascii="Calibri" w:hAnsi="Calibri" w:cs="Calibri"/>
          <w:sz w:val="22"/>
          <w:szCs w:val="22"/>
        </w:rPr>
        <w:t xml:space="preserve"> osoba fizyczna</w:t>
      </w:r>
    </w:p>
    <w:p w14:paraId="1E02DC98" w14:textId="77777777" w:rsidR="008D0915" w:rsidRPr="00032F61" w:rsidRDefault="00A2053B" w:rsidP="008D0915">
      <w:pPr>
        <w:spacing w:line="260" w:lineRule="exact"/>
        <w:ind w:firstLine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2002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15" w:rsidRPr="00032F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915" w:rsidRPr="00032F61">
        <w:rPr>
          <w:rFonts w:ascii="Calibri" w:hAnsi="Calibri" w:cs="Calibri"/>
          <w:sz w:val="22"/>
          <w:szCs w:val="22"/>
        </w:rPr>
        <w:t xml:space="preserve"> przedsiębiorca</w:t>
      </w:r>
    </w:p>
    <w:p w14:paraId="6ED56318" w14:textId="77777777" w:rsidR="008D0915" w:rsidRPr="00032F61" w:rsidRDefault="00A2053B" w:rsidP="008D0915">
      <w:pPr>
        <w:spacing w:line="260" w:lineRule="exact"/>
        <w:ind w:left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6678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15" w:rsidRPr="00032F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915" w:rsidRPr="00032F61">
        <w:rPr>
          <w:rFonts w:ascii="Calibri" w:hAnsi="Calibri" w:cs="Calibri"/>
          <w:sz w:val="22"/>
          <w:szCs w:val="22"/>
        </w:rPr>
        <w:t xml:space="preserve"> przedstawiciel instytucji publicznej</w:t>
      </w:r>
    </w:p>
    <w:p w14:paraId="0B47928C" w14:textId="77777777" w:rsidR="008D0915" w:rsidRPr="00032F61" w:rsidRDefault="00A2053B" w:rsidP="008D0915">
      <w:pPr>
        <w:spacing w:line="260" w:lineRule="exact"/>
        <w:ind w:firstLine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7749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15" w:rsidRPr="00032F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915" w:rsidRPr="00032F61">
        <w:rPr>
          <w:rFonts w:ascii="Calibri" w:hAnsi="Calibri" w:cs="Calibri"/>
          <w:sz w:val="22"/>
          <w:szCs w:val="22"/>
        </w:rPr>
        <w:t xml:space="preserve"> przedstawiciel organizacji trzeciego sektora </w:t>
      </w:r>
    </w:p>
    <w:p w14:paraId="53CDBE07" w14:textId="77777777" w:rsidR="008D0915" w:rsidRPr="00032F61" w:rsidRDefault="00A2053B" w:rsidP="008D0915">
      <w:pPr>
        <w:spacing w:line="260" w:lineRule="exact"/>
        <w:ind w:firstLine="709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15552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915" w:rsidRPr="00032F6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915" w:rsidRPr="00032F61">
        <w:rPr>
          <w:rFonts w:ascii="Calibri" w:hAnsi="Calibri" w:cs="Calibri"/>
          <w:sz w:val="22"/>
          <w:szCs w:val="22"/>
        </w:rPr>
        <w:t xml:space="preserve"> inne</w:t>
      </w:r>
    </w:p>
    <w:p w14:paraId="17000317" w14:textId="77777777" w:rsidR="008D0915" w:rsidRPr="00032F61" w:rsidRDefault="008D0915" w:rsidP="008D0915">
      <w:pPr>
        <w:spacing w:line="260" w:lineRule="exact"/>
        <w:rPr>
          <w:rFonts w:ascii="Calibri" w:hAnsi="Calibri" w:cs="Calibri"/>
          <w:sz w:val="22"/>
          <w:szCs w:val="22"/>
        </w:rPr>
      </w:pPr>
    </w:p>
    <w:p w14:paraId="76833616" w14:textId="77777777" w:rsidR="00A96C70" w:rsidRPr="00032F61" w:rsidRDefault="00A96C70" w:rsidP="008D0915">
      <w:p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Mój adres e-mail, to:</w:t>
      </w:r>
    </w:p>
    <w:p w14:paraId="22BED4B1" w14:textId="77777777" w:rsidR="00A96C70" w:rsidRPr="00032F61" w:rsidRDefault="00A96C70" w:rsidP="008D0915">
      <w:p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____________________</w:t>
      </w:r>
    </w:p>
    <w:p w14:paraId="0DF256F5" w14:textId="77777777" w:rsidR="00A96C70" w:rsidRPr="00032F61" w:rsidRDefault="00A96C70" w:rsidP="008D0915">
      <w:pPr>
        <w:spacing w:line="260" w:lineRule="exact"/>
        <w:rPr>
          <w:rFonts w:ascii="Calibri" w:hAnsi="Calibri" w:cs="Calibri"/>
          <w:sz w:val="22"/>
          <w:szCs w:val="22"/>
        </w:rPr>
      </w:pPr>
    </w:p>
    <w:p w14:paraId="373952AB" w14:textId="77777777" w:rsidR="00A96C70" w:rsidRPr="00032F61" w:rsidRDefault="00A96C70" w:rsidP="008D0915">
      <w:pPr>
        <w:pStyle w:val="Nagwek1"/>
        <w:rPr>
          <w:rFonts w:ascii="Calibri" w:eastAsia="Times New Roman" w:hAnsi="Calibri" w:cs="Calibri"/>
          <w:color w:val="auto"/>
          <w:sz w:val="22"/>
          <w:szCs w:val="22"/>
        </w:rPr>
      </w:pPr>
      <w:r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Nazwa instytucji </w:t>
      </w:r>
    </w:p>
    <w:p w14:paraId="2D253DAB" w14:textId="77777777" w:rsidR="00A96C70" w:rsidRPr="00032F61" w:rsidRDefault="00A96C70" w:rsidP="00A96C70">
      <w:pPr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___________________</w:t>
      </w:r>
    </w:p>
    <w:p w14:paraId="745D9E39" w14:textId="77777777" w:rsidR="00C11C02" w:rsidRPr="00032F61" w:rsidRDefault="00C11C02" w:rsidP="00C11C02">
      <w:pPr>
        <w:pStyle w:val="Akapitzlist"/>
        <w:rPr>
          <w:rFonts w:ascii="Calibri" w:hAnsi="Calibri" w:cs="Calibri"/>
          <w:sz w:val="22"/>
          <w:szCs w:val="22"/>
        </w:rPr>
      </w:pPr>
    </w:p>
    <w:p w14:paraId="1EB2C835" w14:textId="71E1894F" w:rsidR="00A96C70" w:rsidRDefault="00130F98" w:rsidP="00C82BBB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615A2B">
        <w:rPr>
          <w:rFonts w:ascii="Calibri" w:hAnsi="Calibri" w:cs="Calibri"/>
          <w:b/>
          <w:bCs/>
        </w:rPr>
        <w:t>Wybierz zagadnienie</w:t>
      </w:r>
      <w:r w:rsidR="00C82BBB" w:rsidRPr="00615A2B">
        <w:rPr>
          <w:rFonts w:ascii="Calibri" w:hAnsi="Calibri" w:cs="Calibri"/>
          <w:b/>
          <w:bCs/>
        </w:rPr>
        <w:t xml:space="preserve"> Cyfrowej dekady</w:t>
      </w:r>
      <w:r w:rsidR="0014744F" w:rsidRPr="00615A2B">
        <w:rPr>
          <w:rFonts w:ascii="Calibri" w:hAnsi="Calibri" w:cs="Calibri"/>
          <w:b/>
          <w:bCs/>
        </w:rPr>
        <w:t>:</w:t>
      </w:r>
    </w:p>
    <w:p w14:paraId="7DFB2E30" w14:textId="77777777" w:rsidR="00605F31" w:rsidRPr="00605F31" w:rsidRDefault="00605F31" w:rsidP="00605F31">
      <w:pPr>
        <w:ind w:left="360"/>
        <w:rPr>
          <w:rFonts w:ascii="Calibri" w:hAnsi="Calibri" w:cs="Calibri"/>
          <w:b/>
          <w:bCs/>
        </w:rPr>
      </w:pPr>
    </w:p>
    <w:p w14:paraId="7C480C13" w14:textId="77777777" w:rsidR="00223354" w:rsidRPr="00032F61" w:rsidRDefault="0014744F" w:rsidP="0088722A">
      <w:pPr>
        <w:pStyle w:val="Akapitzlist"/>
        <w:numPr>
          <w:ilvl w:val="0"/>
          <w:numId w:val="6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kompetencje cyfrowe</w:t>
      </w:r>
    </w:p>
    <w:p w14:paraId="0F185780" w14:textId="77777777" w:rsidR="00223354" w:rsidRPr="00032F61" w:rsidRDefault="00FF279E" w:rsidP="0088722A">
      <w:pPr>
        <w:pStyle w:val="Akapitzlist"/>
        <w:numPr>
          <w:ilvl w:val="0"/>
          <w:numId w:val="6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 xml:space="preserve">infrastruktury cyfrowe </w:t>
      </w:r>
    </w:p>
    <w:p w14:paraId="74911EBB" w14:textId="77777777" w:rsidR="00223354" w:rsidRPr="00032F61" w:rsidRDefault="0014744F" w:rsidP="0088722A">
      <w:pPr>
        <w:pStyle w:val="Akapitzlist"/>
        <w:numPr>
          <w:ilvl w:val="0"/>
          <w:numId w:val="6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transformacja cyfrowa przedsiębiorstw</w:t>
      </w:r>
    </w:p>
    <w:p w14:paraId="5852107D" w14:textId="77777777" w:rsidR="00223354" w:rsidRPr="00032F61" w:rsidRDefault="0014744F" w:rsidP="0088722A">
      <w:pPr>
        <w:pStyle w:val="Akapitzlist"/>
        <w:numPr>
          <w:ilvl w:val="0"/>
          <w:numId w:val="6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cyfryzacja usług publicznych</w:t>
      </w:r>
    </w:p>
    <w:p w14:paraId="4DD2ED1F" w14:textId="483FF2CA" w:rsidR="00C82BBB" w:rsidRPr="00032F61" w:rsidRDefault="007E37AE" w:rsidP="0088722A">
      <w:pPr>
        <w:pStyle w:val="Akapitzlist"/>
        <w:numPr>
          <w:ilvl w:val="0"/>
          <w:numId w:val="6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cele ogólne*</w:t>
      </w:r>
    </w:p>
    <w:p w14:paraId="2FDF8AFD" w14:textId="77777777" w:rsidR="007E37AE" w:rsidRPr="00032F61" w:rsidRDefault="007E37AE" w:rsidP="00C82BBB">
      <w:pPr>
        <w:spacing w:line="260" w:lineRule="exact"/>
        <w:ind w:firstLine="709"/>
        <w:rPr>
          <w:rFonts w:ascii="Calibri" w:hAnsi="Calibri" w:cs="Calibri"/>
          <w:sz w:val="22"/>
          <w:szCs w:val="22"/>
        </w:rPr>
      </w:pPr>
    </w:p>
    <w:p w14:paraId="2DE3E5C0" w14:textId="3CAECCB9" w:rsidR="00A96C70" w:rsidRPr="00032F61" w:rsidRDefault="007E37AE" w:rsidP="00A96C70">
      <w:pPr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b/>
          <w:sz w:val="22"/>
          <w:szCs w:val="22"/>
        </w:rPr>
        <w:t>Wyjaśnienie:</w:t>
      </w:r>
      <w:r w:rsidRPr="00032F61">
        <w:rPr>
          <w:rFonts w:ascii="Calibri" w:hAnsi="Calibri" w:cs="Calibri"/>
          <w:sz w:val="22"/>
          <w:szCs w:val="22"/>
        </w:rPr>
        <w:t xml:space="preserve"> Cele ogólne są określone w artykule 3 Decyzji Parlamentu Europejskiego i Rady (UE) 2022/2481 z dnia 14 grudnia 2022 r. ustanawiającej program polityki „Droga ku cyfrowej dekadzie” do 2030 r. (</w:t>
      </w:r>
      <w:hyperlink r:id="rId6" w:history="1">
        <w:r w:rsidRPr="00032F61">
          <w:rPr>
            <w:rStyle w:val="Hipercze"/>
            <w:rFonts w:ascii="Calibri" w:hAnsi="Calibri" w:cs="Calibri"/>
            <w:sz w:val="22"/>
            <w:szCs w:val="22"/>
          </w:rPr>
          <w:t>link</w:t>
        </w:r>
      </w:hyperlink>
      <w:r w:rsidRPr="00032F61">
        <w:rPr>
          <w:rFonts w:ascii="Calibri" w:hAnsi="Calibri" w:cs="Calibri"/>
          <w:sz w:val="22"/>
          <w:szCs w:val="22"/>
        </w:rPr>
        <w:t>)</w:t>
      </w:r>
    </w:p>
    <w:p w14:paraId="48A2B0A0" w14:textId="77777777" w:rsidR="0014744F" w:rsidRPr="00B1301D" w:rsidRDefault="0014744F" w:rsidP="0014744F">
      <w:pPr>
        <w:rPr>
          <w:rFonts w:ascii="Calibri" w:hAnsi="Calibri" w:cs="Calibri"/>
          <w:b/>
          <w:bCs/>
        </w:rPr>
      </w:pPr>
    </w:p>
    <w:p w14:paraId="245EB85A" w14:textId="5B26C9BE" w:rsidR="0014744F" w:rsidRDefault="00271D8A" w:rsidP="00C82BBB">
      <w:pPr>
        <w:pStyle w:val="Akapitzlist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B1301D">
        <w:rPr>
          <w:rFonts w:ascii="Calibri" w:hAnsi="Calibri" w:cs="Calibri"/>
          <w:b/>
          <w:bCs/>
        </w:rPr>
        <w:t>Wybierz cel</w:t>
      </w:r>
      <w:r w:rsidR="00861658" w:rsidRPr="00B1301D">
        <w:rPr>
          <w:rFonts w:ascii="Calibri" w:hAnsi="Calibri" w:cs="Calibri"/>
          <w:b/>
          <w:bCs/>
        </w:rPr>
        <w:t xml:space="preserve"> cyfrowy</w:t>
      </w:r>
      <w:r w:rsidR="0014744F" w:rsidRPr="00B1301D">
        <w:rPr>
          <w:rFonts w:ascii="Calibri" w:hAnsi="Calibri" w:cs="Calibri"/>
          <w:b/>
          <w:bCs/>
        </w:rPr>
        <w:t>:</w:t>
      </w:r>
    </w:p>
    <w:p w14:paraId="7A7FAE27" w14:textId="77777777" w:rsidR="00605F31" w:rsidRPr="00605F31" w:rsidRDefault="00605F31" w:rsidP="00605F31">
      <w:pPr>
        <w:ind w:left="360"/>
        <w:rPr>
          <w:rFonts w:ascii="Calibri" w:hAnsi="Calibri" w:cs="Calibri"/>
          <w:b/>
          <w:bCs/>
        </w:rPr>
      </w:pPr>
    </w:p>
    <w:p w14:paraId="60D32072" w14:textId="77777777" w:rsidR="0014744F" w:rsidRPr="00032F61" w:rsidRDefault="0014744F" w:rsidP="0014744F">
      <w:pPr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</w:pPr>
      <w:r w:rsidRPr="00032F61"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  <w:t>[A - kompetencje]</w:t>
      </w:r>
    </w:p>
    <w:p w14:paraId="1E90A7C2" w14:textId="7888EAB8" w:rsidR="0014744F" w:rsidRPr="00032F61" w:rsidRDefault="0014744F" w:rsidP="00316C9A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co najmniej 80 % osób w wieku 16–74 lat posiada przynajmniej podstawowe umiejętności cyfrowe</w:t>
      </w:r>
      <w:r w:rsidR="00C11C02" w:rsidRPr="00032F61">
        <w:rPr>
          <w:rFonts w:ascii="Calibri" w:hAnsi="Calibri" w:cs="Calibri"/>
          <w:sz w:val="22"/>
          <w:szCs w:val="22"/>
        </w:rPr>
        <w:t>;</w:t>
      </w:r>
    </w:p>
    <w:p w14:paraId="2E8077FF" w14:textId="79409C34" w:rsidR="0014744F" w:rsidRPr="00032F61" w:rsidRDefault="00FF279E" w:rsidP="00316C9A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co najmniej 20 mln specjalistów w dziedzin</w:t>
      </w:r>
      <w:r w:rsidR="00130F98" w:rsidRPr="00032F61">
        <w:rPr>
          <w:rFonts w:ascii="Calibri" w:hAnsi="Calibri" w:cs="Calibri"/>
          <w:sz w:val="22"/>
          <w:szCs w:val="22"/>
        </w:rPr>
        <w:t>ie ICT jest zatrudnionych w UE</w:t>
      </w:r>
      <w:r w:rsidRPr="00032F61">
        <w:rPr>
          <w:rFonts w:ascii="Calibri" w:hAnsi="Calibri" w:cs="Calibri"/>
          <w:sz w:val="22"/>
          <w:szCs w:val="22"/>
        </w:rPr>
        <w:t xml:space="preserve"> – przy promowaniu dostępu kobiet do tej dziedziny oraz zwiększeniu liczby absolwentów kierunków związanych z ICT</w:t>
      </w:r>
      <w:r w:rsidR="00C11C02" w:rsidRPr="00032F61">
        <w:rPr>
          <w:rFonts w:ascii="Calibri" w:hAnsi="Calibri" w:cs="Calibri"/>
          <w:sz w:val="22"/>
          <w:szCs w:val="22"/>
        </w:rPr>
        <w:t>.</w:t>
      </w:r>
    </w:p>
    <w:p w14:paraId="11884629" w14:textId="77777777" w:rsidR="0014744F" w:rsidRPr="00032F61" w:rsidRDefault="0014744F" w:rsidP="0014744F">
      <w:pPr>
        <w:rPr>
          <w:rFonts w:ascii="Calibri" w:hAnsi="Calibri" w:cs="Calibri"/>
          <w:sz w:val="22"/>
          <w:szCs w:val="22"/>
        </w:rPr>
      </w:pPr>
    </w:p>
    <w:p w14:paraId="33F8422D" w14:textId="77777777" w:rsidR="0014744F" w:rsidRPr="00032F61" w:rsidRDefault="00FF279E" w:rsidP="0014744F">
      <w:pPr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</w:pPr>
      <w:r w:rsidRPr="00032F61"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  <w:t xml:space="preserve"> </w:t>
      </w:r>
      <w:r w:rsidR="0014744F" w:rsidRPr="00032F61"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  <w:t>[B - infrastruktura]</w:t>
      </w:r>
    </w:p>
    <w:p w14:paraId="5ABE9D8A" w14:textId="77777777" w:rsidR="00B1301D" w:rsidRDefault="00FF279E" w:rsidP="00B1301D">
      <w:pPr>
        <w:pStyle w:val="Akapitzlist"/>
        <w:numPr>
          <w:ilvl w:val="0"/>
          <w:numId w:val="13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B1301D">
        <w:rPr>
          <w:rFonts w:ascii="Calibri" w:hAnsi="Calibri" w:cs="Calibri"/>
          <w:sz w:val="22"/>
          <w:szCs w:val="22"/>
        </w:rPr>
        <w:t>wszyscy użytkownicy końcowi przebywający w stałej lokalizacji są objęci siecią gigabitową aż do punktu zakończenia sieci, a wszystkie obszary zaludnione są objęte ultraszybką siecią bezprzewodową nowej generacji o wydajności dorównującej co najmniej sieci 5G, zgodnie z zasadą neutralności technologicznej</w:t>
      </w:r>
      <w:r w:rsidR="00C11C02" w:rsidRPr="00B1301D">
        <w:rPr>
          <w:rFonts w:ascii="Calibri" w:hAnsi="Calibri" w:cs="Calibri"/>
          <w:sz w:val="22"/>
          <w:szCs w:val="22"/>
        </w:rPr>
        <w:t>;</w:t>
      </w:r>
    </w:p>
    <w:p w14:paraId="2C31C697" w14:textId="2151D0A9" w:rsidR="0014744F" w:rsidRPr="00B1301D" w:rsidRDefault="00130F98" w:rsidP="00B1301D">
      <w:pPr>
        <w:pStyle w:val="Akapitzlist"/>
        <w:numPr>
          <w:ilvl w:val="0"/>
          <w:numId w:val="13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B1301D">
        <w:rPr>
          <w:rFonts w:ascii="Calibri" w:hAnsi="Calibri" w:cs="Calibri"/>
          <w:sz w:val="22"/>
          <w:szCs w:val="22"/>
        </w:rPr>
        <w:t>prowadzona zgodnie z prawem UE</w:t>
      </w:r>
      <w:r w:rsidR="00FF279E" w:rsidRPr="00B1301D">
        <w:rPr>
          <w:rFonts w:ascii="Calibri" w:hAnsi="Calibri" w:cs="Calibri"/>
          <w:sz w:val="22"/>
          <w:szCs w:val="22"/>
        </w:rPr>
        <w:t xml:space="preserve"> w zakresie </w:t>
      </w:r>
      <w:proofErr w:type="spellStart"/>
      <w:r w:rsidR="00FF279E" w:rsidRPr="00B1301D">
        <w:rPr>
          <w:rFonts w:ascii="Calibri" w:hAnsi="Calibri" w:cs="Calibri"/>
          <w:sz w:val="22"/>
          <w:szCs w:val="22"/>
        </w:rPr>
        <w:t>zrównoważności</w:t>
      </w:r>
      <w:proofErr w:type="spellEnd"/>
      <w:r w:rsidR="00FF279E" w:rsidRPr="00B1301D">
        <w:rPr>
          <w:rFonts w:ascii="Calibri" w:hAnsi="Calibri" w:cs="Calibri"/>
          <w:sz w:val="22"/>
          <w:szCs w:val="22"/>
        </w:rPr>
        <w:t xml:space="preserve"> środowiskowej rozwoju produkcja najnowocześniejszych półprzewodników w Unii stanowi co najmniej 20% wartości produkcji światowej</w:t>
      </w:r>
      <w:r w:rsidR="00C11C02" w:rsidRPr="00B1301D">
        <w:rPr>
          <w:rFonts w:ascii="Calibri" w:hAnsi="Calibri" w:cs="Calibri"/>
          <w:sz w:val="22"/>
          <w:szCs w:val="22"/>
        </w:rPr>
        <w:t>;</w:t>
      </w:r>
    </w:p>
    <w:p w14:paraId="0C9C481B" w14:textId="222FEDF0" w:rsidR="0014744F" w:rsidRPr="00032F61" w:rsidRDefault="00FF279E" w:rsidP="00316C9A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co najmniej 10 000 neutralnych dla klimatu węzłów brzegowych oferujących wysoki stopień bezpieczeństwa i rozmieszczonych w sposób gwarantujący dostęp do związanych z danymi usług charakteryzujących się niskim opóźnieniem (tj. kilka milisekund) jest wdrożonych niezależnie od lokalizacji przedsiębiorstwa</w:t>
      </w:r>
      <w:r w:rsidR="00C11C02" w:rsidRPr="00032F61">
        <w:rPr>
          <w:rFonts w:ascii="Calibri" w:hAnsi="Calibri" w:cs="Calibri"/>
          <w:sz w:val="22"/>
          <w:szCs w:val="22"/>
        </w:rPr>
        <w:t>;</w:t>
      </w:r>
    </w:p>
    <w:p w14:paraId="6286DE97" w14:textId="47A6840F" w:rsidR="0014744F" w:rsidRPr="00032F61" w:rsidRDefault="00130F98" w:rsidP="00316C9A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do 2025 r. UE</w:t>
      </w:r>
      <w:r w:rsidR="00FF279E" w:rsidRPr="00032F61">
        <w:rPr>
          <w:rFonts w:ascii="Calibri" w:hAnsi="Calibri" w:cs="Calibri"/>
          <w:sz w:val="22"/>
          <w:szCs w:val="22"/>
        </w:rPr>
        <w:t xml:space="preserve"> dysponuje swoim pierwszym komputerem z przyspieszeniem kwantowym, co toruje jej drogę do zajęcia czołowej pozycji w dziedzinie zdolności kwantowych do 2030 r.</w:t>
      </w:r>
    </w:p>
    <w:p w14:paraId="6B163C31" w14:textId="77777777" w:rsidR="0014744F" w:rsidRPr="00032F61" w:rsidRDefault="0014744F" w:rsidP="0014744F">
      <w:pPr>
        <w:rPr>
          <w:rFonts w:ascii="Calibri" w:hAnsi="Calibri" w:cs="Calibri"/>
          <w:sz w:val="22"/>
          <w:szCs w:val="22"/>
        </w:rPr>
      </w:pPr>
    </w:p>
    <w:p w14:paraId="4F100EDF" w14:textId="77777777" w:rsidR="0014744F" w:rsidRPr="00032F61" w:rsidRDefault="00FF279E" w:rsidP="0014744F">
      <w:pPr>
        <w:rPr>
          <w:rFonts w:ascii="Calibri" w:hAnsi="Calibri" w:cs="Calibri"/>
          <w:sz w:val="22"/>
          <w:szCs w:val="22"/>
        </w:rPr>
      </w:pPr>
      <w:r w:rsidRPr="00032F61"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  <w:lastRenderedPageBreak/>
        <w:t xml:space="preserve"> </w:t>
      </w:r>
      <w:r w:rsidR="0014744F" w:rsidRPr="00032F61"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  <w:t>[C – transformacja cyfrowa przedsiębiorstw]</w:t>
      </w:r>
    </w:p>
    <w:p w14:paraId="36177095" w14:textId="63CC8EFB" w:rsidR="00130F98" w:rsidRPr="00032F61" w:rsidRDefault="00130F98" w:rsidP="00091817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co najmniej 75 % przedsiębiorstw unijnych korzysta z co najmniej jednego z poniższych działań, zgodnie z ich działalnością gospodarczą: (i) usług przetwarzania w chmurze; (ii) dużych zbiorów danych; (iii) sztucznej inteligencji;</w:t>
      </w:r>
    </w:p>
    <w:p w14:paraId="3C46C95D" w14:textId="3C133CF0" w:rsidR="00130F98" w:rsidRPr="00032F61" w:rsidRDefault="00130F98" w:rsidP="00091817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ponad 90 % unijnych MŚP osiągnęło co najmniej podstawowy poziom wskaźnika wykorzystania technologii cyfrowych</w:t>
      </w:r>
      <w:r w:rsidR="00C11C02" w:rsidRPr="00032F61">
        <w:rPr>
          <w:rFonts w:ascii="Calibri" w:hAnsi="Calibri" w:cs="Calibri"/>
          <w:sz w:val="22"/>
          <w:szCs w:val="22"/>
        </w:rPr>
        <w:t>;</w:t>
      </w:r>
    </w:p>
    <w:p w14:paraId="02A7C856" w14:textId="4F2A22BF" w:rsidR="00130F98" w:rsidRPr="00032F61" w:rsidRDefault="00130F98" w:rsidP="00091817">
      <w:pPr>
        <w:pStyle w:val="Akapitzlist"/>
        <w:numPr>
          <w:ilvl w:val="0"/>
          <w:numId w:val="10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 xml:space="preserve">UE ułatwia rozwój innowacyjnych przedsiębiorstw </w:t>
      </w:r>
      <w:proofErr w:type="spellStart"/>
      <w:r w:rsidRPr="00032F61">
        <w:rPr>
          <w:rFonts w:ascii="Calibri" w:hAnsi="Calibri" w:cs="Calibri"/>
          <w:sz w:val="22"/>
          <w:szCs w:val="22"/>
        </w:rPr>
        <w:t>scale-up</w:t>
      </w:r>
      <w:proofErr w:type="spellEnd"/>
      <w:r w:rsidRPr="00032F61">
        <w:rPr>
          <w:rFonts w:ascii="Calibri" w:hAnsi="Calibri" w:cs="Calibri"/>
          <w:sz w:val="22"/>
          <w:szCs w:val="22"/>
        </w:rPr>
        <w:t xml:space="preserve"> i poprawia ich dostęp do finansowania, dzięki czemu co najmniej podwoiła się liczba jednorożców</w:t>
      </w:r>
      <w:r w:rsidR="00C11C02" w:rsidRPr="00032F61">
        <w:rPr>
          <w:rFonts w:ascii="Calibri" w:hAnsi="Calibri" w:cs="Calibri"/>
          <w:sz w:val="22"/>
          <w:szCs w:val="22"/>
        </w:rPr>
        <w:t>.</w:t>
      </w:r>
    </w:p>
    <w:p w14:paraId="79BD2CA8" w14:textId="77777777" w:rsidR="0014744F" w:rsidRPr="00032F61" w:rsidRDefault="0014744F" w:rsidP="0014744F">
      <w:pPr>
        <w:rPr>
          <w:rFonts w:ascii="Calibri" w:hAnsi="Calibri" w:cs="Calibri"/>
          <w:sz w:val="22"/>
          <w:szCs w:val="22"/>
        </w:rPr>
      </w:pPr>
    </w:p>
    <w:p w14:paraId="696729AF" w14:textId="77777777" w:rsidR="00A96C70" w:rsidRPr="00032F61" w:rsidRDefault="0014744F" w:rsidP="00A96C70">
      <w:pPr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</w:pPr>
      <w:r w:rsidRPr="00032F61">
        <w:rPr>
          <w:rFonts w:ascii="Calibri" w:eastAsiaTheme="majorEastAsia" w:hAnsi="Calibri" w:cs="Calibri"/>
          <w:color w:val="2E74B5" w:themeColor="accent1" w:themeShade="BF"/>
          <w:sz w:val="22"/>
          <w:szCs w:val="22"/>
        </w:rPr>
        <w:t>[D - cyfryzacja usług publicznych]</w:t>
      </w:r>
    </w:p>
    <w:p w14:paraId="35B70AB2" w14:textId="429026A3" w:rsidR="0014744F" w:rsidRPr="00032F61" w:rsidRDefault="00130F98" w:rsidP="00032F61">
      <w:pPr>
        <w:pStyle w:val="Akapitzlist"/>
        <w:numPr>
          <w:ilvl w:val="0"/>
          <w:numId w:val="12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100 % kluczowych usług publicznych jest dostępnych online dla obywateli i przedsiębiorstw w Unii i, w stosownych przypadkach, istnieje możliwość interakcji online z administracją publiczną</w:t>
      </w:r>
      <w:r w:rsidR="00C11C02" w:rsidRPr="00032F61">
        <w:rPr>
          <w:rFonts w:ascii="Calibri" w:hAnsi="Calibri" w:cs="Calibri"/>
          <w:sz w:val="22"/>
          <w:szCs w:val="22"/>
        </w:rPr>
        <w:t>;</w:t>
      </w:r>
    </w:p>
    <w:p w14:paraId="4A222CA0" w14:textId="2F2724CA" w:rsidR="0014744F" w:rsidRPr="00032F61" w:rsidRDefault="00130F98" w:rsidP="00032F61">
      <w:pPr>
        <w:pStyle w:val="Akapitzlist"/>
        <w:numPr>
          <w:ilvl w:val="0"/>
          <w:numId w:val="12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100 % obywateli UE ma dostęp do swojej elektronicznej dokumentacji medycznej</w:t>
      </w:r>
      <w:r w:rsidR="00C11C02" w:rsidRPr="00032F61">
        <w:rPr>
          <w:rFonts w:ascii="Calibri" w:hAnsi="Calibri" w:cs="Calibri"/>
          <w:sz w:val="22"/>
          <w:szCs w:val="22"/>
        </w:rPr>
        <w:t>;</w:t>
      </w:r>
    </w:p>
    <w:p w14:paraId="1C16C76D" w14:textId="42C6F07F" w:rsidR="00FF279E" w:rsidRPr="00032F61" w:rsidRDefault="00130F98" w:rsidP="00032F61">
      <w:pPr>
        <w:pStyle w:val="Akapitzlist"/>
        <w:numPr>
          <w:ilvl w:val="0"/>
          <w:numId w:val="12"/>
        </w:num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100 % obywateli Unii ma dostęp do środków w zakresie identyfikacji elektronicznej (</w:t>
      </w:r>
      <w:proofErr w:type="spellStart"/>
      <w:r w:rsidRPr="00032F61">
        <w:rPr>
          <w:rFonts w:ascii="Calibri" w:hAnsi="Calibri" w:cs="Calibri"/>
          <w:sz w:val="22"/>
          <w:szCs w:val="22"/>
        </w:rPr>
        <w:t>eID</w:t>
      </w:r>
      <w:proofErr w:type="spellEnd"/>
      <w:r w:rsidRPr="00032F61">
        <w:rPr>
          <w:rFonts w:ascii="Calibri" w:hAnsi="Calibri" w:cs="Calibri"/>
          <w:sz w:val="22"/>
          <w:szCs w:val="22"/>
        </w:rPr>
        <w:t>) uznawanych w całej UE i zapewniających im pełną kontrolę nad transakcjami wymagającymi weryfikacji tożsamości i nad udostępnianymi danymi osobowymi.</w:t>
      </w:r>
    </w:p>
    <w:p w14:paraId="1C350946" w14:textId="70E7B7EF" w:rsidR="007E37AE" w:rsidRPr="00032F61" w:rsidRDefault="007E37AE" w:rsidP="00032F61">
      <w:pPr>
        <w:spacing w:line="260" w:lineRule="exact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[A</w:t>
      </w:r>
      <w:r w:rsidR="00615A2B">
        <w:rPr>
          <w:rFonts w:ascii="Calibri" w:hAnsi="Calibri" w:cs="Calibri"/>
          <w:sz w:val="22"/>
          <w:szCs w:val="22"/>
        </w:rPr>
        <w:t>.</w:t>
      </w:r>
      <w:r w:rsidR="009E2D96">
        <w:rPr>
          <w:rFonts w:ascii="Calibri" w:hAnsi="Calibri" w:cs="Calibri"/>
          <w:sz w:val="22"/>
          <w:szCs w:val="22"/>
        </w:rPr>
        <w:t>1</w:t>
      </w:r>
      <w:r w:rsidRPr="00032F61">
        <w:rPr>
          <w:rFonts w:ascii="Calibri" w:hAnsi="Calibri" w:cs="Calibri"/>
          <w:sz w:val="22"/>
          <w:szCs w:val="22"/>
        </w:rPr>
        <w:t>]</w:t>
      </w:r>
    </w:p>
    <w:p w14:paraId="39B18C4F" w14:textId="7CD78DA3" w:rsidR="008D0915" w:rsidRPr="00032F61" w:rsidRDefault="00130F98" w:rsidP="007E37AE">
      <w:pPr>
        <w:pStyle w:val="Nagwek1"/>
        <w:ind w:left="720"/>
        <w:rPr>
          <w:rFonts w:ascii="Calibri" w:eastAsia="Times New Roman" w:hAnsi="Calibri" w:cs="Calibri"/>
          <w:color w:val="auto"/>
          <w:sz w:val="22"/>
          <w:szCs w:val="22"/>
        </w:rPr>
      </w:pPr>
      <w:r w:rsidRPr="00032F61">
        <w:rPr>
          <w:rFonts w:ascii="Calibri" w:eastAsia="Times New Roman" w:hAnsi="Calibri" w:cs="Calibri"/>
          <w:color w:val="auto"/>
          <w:sz w:val="22"/>
          <w:szCs w:val="22"/>
        </w:rPr>
        <w:t>Jakich działań oczekujesz, żeby</w:t>
      </w:r>
      <w:r w:rsidR="001A2ED5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został</w:t>
      </w:r>
      <w:r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osiągn</w:t>
      </w:r>
      <w:r w:rsidR="001A2ED5" w:rsidRPr="00032F61">
        <w:rPr>
          <w:rFonts w:ascii="Calibri" w:eastAsia="Times New Roman" w:hAnsi="Calibri" w:cs="Calibri"/>
          <w:color w:val="auto"/>
          <w:sz w:val="22"/>
          <w:szCs w:val="22"/>
        </w:rPr>
        <w:t>ięty</w:t>
      </w:r>
      <w:r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271D8A" w:rsidRPr="00032F61">
        <w:rPr>
          <w:rFonts w:ascii="Calibri" w:eastAsia="Times New Roman" w:hAnsi="Calibri" w:cs="Calibri"/>
          <w:color w:val="auto"/>
          <w:sz w:val="22"/>
          <w:szCs w:val="22"/>
        </w:rPr>
        <w:t>wybrany cel</w:t>
      </w:r>
      <w:r w:rsidR="00861658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cyfrowy</w:t>
      </w:r>
      <w:r w:rsidR="00C82BBB" w:rsidRPr="00032F61">
        <w:rPr>
          <w:rFonts w:ascii="Calibri" w:eastAsia="Times New Roman" w:hAnsi="Calibri" w:cs="Calibri"/>
          <w:color w:val="auto"/>
          <w:sz w:val="22"/>
          <w:szCs w:val="22"/>
        </w:rPr>
        <w:t>?</w:t>
      </w:r>
      <w:r w:rsidR="00271D8A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Pamiętaj o zwięzłej i precyzyjnej formie wypowiedzi. Twoja odpowiedź powinna mieścić się w </w:t>
      </w:r>
      <w:r w:rsidR="001A2ED5" w:rsidRPr="00032F61">
        <w:rPr>
          <w:rFonts w:ascii="Calibri" w:eastAsia="Times New Roman" w:hAnsi="Calibri" w:cs="Calibri"/>
          <w:color w:val="auto"/>
          <w:sz w:val="22"/>
          <w:szCs w:val="22"/>
        </w:rPr>
        <w:t>2</w:t>
      </w:r>
      <w:r w:rsidR="00271D8A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50 wyrazach. </w:t>
      </w:r>
    </w:p>
    <w:p w14:paraId="74619555" w14:textId="77777777" w:rsidR="00C11C02" w:rsidRPr="00032F61" w:rsidRDefault="00C11C02" w:rsidP="00C11C02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C82BBB" w:rsidRPr="00032F61" w14:paraId="728C1556" w14:textId="77777777" w:rsidTr="00352058">
        <w:trPr>
          <w:trHeight w:val="1667"/>
        </w:trPr>
        <w:tc>
          <w:tcPr>
            <w:tcW w:w="8884" w:type="dxa"/>
          </w:tcPr>
          <w:p w14:paraId="6B609048" w14:textId="77777777" w:rsidR="00C82BBB" w:rsidRPr="00032F61" w:rsidRDefault="00C82BBB" w:rsidP="00352058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31B75C3" w14:textId="04884C8E" w:rsidR="007E37AE" w:rsidRPr="00032F61" w:rsidRDefault="007E37AE" w:rsidP="00C11C02">
      <w:pPr>
        <w:pStyle w:val="Nagwek1"/>
        <w:rPr>
          <w:rFonts w:ascii="Calibri" w:hAnsi="Calibri" w:cs="Calibri"/>
          <w:sz w:val="22"/>
          <w:szCs w:val="22"/>
        </w:rPr>
      </w:pPr>
      <w:r w:rsidRPr="00032F61">
        <w:rPr>
          <w:rFonts w:ascii="Calibri" w:hAnsi="Calibri" w:cs="Calibri"/>
          <w:sz w:val="22"/>
          <w:szCs w:val="22"/>
        </w:rPr>
        <w:t>[</w:t>
      </w:r>
      <w:r w:rsidR="009E2D96">
        <w:rPr>
          <w:rFonts w:ascii="Calibri" w:hAnsi="Calibri" w:cs="Calibri"/>
          <w:sz w:val="22"/>
          <w:szCs w:val="22"/>
        </w:rPr>
        <w:t>A</w:t>
      </w:r>
      <w:r w:rsidR="00615A2B">
        <w:rPr>
          <w:rFonts w:ascii="Calibri" w:hAnsi="Calibri" w:cs="Calibri"/>
          <w:sz w:val="22"/>
          <w:szCs w:val="22"/>
        </w:rPr>
        <w:t>.</w:t>
      </w:r>
      <w:r w:rsidR="009E2D96">
        <w:rPr>
          <w:rFonts w:ascii="Calibri" w:hAnsi="Calibri" w:cs="Calibri"/>
          <w:sz w:val="22"/>
          <w:szCs w:val="22"/>
        </w:rPr>
        <w:t>2</w:t>
      </w:r>
      <w:r w:rsidRPr="00032F61">
        <w:rPr>
          <w:rFonts w:ascii="Calibri" w:hAnsi="Calibri" w:cs="Calibri"/>
          <w:sz w:val="22"/>
          <w:szCs w:val="22"/>
        </w:rPr>
        <w:t>]</w:t>
      </w:r>
    </w:p>
    <w:p w14:paraId="4F817482" w14:textId="39E40D1B" w:rsidR="00C82BBB" w:rsidRPr="00032F61" w:rsidRDefault="00C82BBB" w:rsidP="007E37AE">
      <w:pPr>
        <w:pStyle w:val="Nagwek1"/>
        <w:ind w:left="720"/>
        <w:rPr>
          <w:rFonts w:ascii="Calibri" w:eastAsia="Times New Roman" w:hAnsi="Calibri" w:cs="Calibri"/>
          <w:color w:val="auto"/>
          <w:sz w:val="22"/>
          <w:szCs w:val="22"/>
        </w:rPr>
      </w:pPr>
      <w:r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Jakich działań oczekujesz, żeby </w:t>
      </w:r>
      <w:r w:rsidR="001A2ED5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zostały </w:t>
      </w:r>
      <w:r w:rsidRPr="00032F61">
        <w:rPr>
          <w:rFonts w:ascii="Calibri" w:eastAsia="Times New Roman" w:hAnsi="Calibri" w:cs="Calibri"/>
          <w:color w:val="auto"/>
          <w:sz w:val="22"/>
          <w:szCs w:val="22"/>
        </w:rPr>
        <w:t>osiągn</w:t>
      </w:r>
      <w:r w:rsidR="001A2ED5" w:rsidRPr="00032F61">
        <w:rPr>
          <w:rFonts w:ascii="Calibri" w:eastAsia="Times New Roman" w:hAnsi="Calibri" w:cs="Calibri"/>
          <w:color w:val="auto"/>
          <w:sz w:val="22"/>
          <w:szCs w:val="22"/>
        </w:rPr>
        <w:t>ięte</w:t>
      </w:r>
      <w:r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cele ogólne </w:t>
      </w:r>
      <w:r w:rsidR="007E37AE" w:rsidRPr="00032F61">
        <w:rPr>
          <w:rFonts w:ascii="Calibri" w:eastAsia="Times New Roman" w:hAnsi="Calibri" w:cs="Calibri"/>
          <w:color w:val="auto"/>
          <w:sz w:val="22"/>
          <w:szCs w:val="22"/>
        </w:rPr>
        <w:t>Cyfrowej dekady</w:t>
      </w:r>
      <w:r w:rsidRPr="00032F61">
        <w:rPr>
          <w:rFonts w:ascii="Calibri" w:eastAsia="Times New Roman" w:hAnsi="Calibri" w:cs="Calibri"/>
          <w:color w:val="auto"/>
          <w:sz w:val="22"/>
          <w:szCs w:val="22"/>
        </w:rPr>
        <w:t>?</w:t>
      </w:r>
      <w:r w:rsidR="007E37AE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  <w:r w:rsidR="00271D8A" w:rsidRPr="00032F61">
        <w:rPr>
          <w:rFonts w:ascii="Calibri" w:eastAsia="Times New Roman" w:hAnsi="Calibri" w:cs="Calibri"/>
          <w:color w:val="auto"/>
          <w:sz w:val="22"/>
          <w:szCs w:val="22"/>
        </w:rPr>
        <w:t xml:space="preserve">Pamiętaj o zwięzłej i precyzyjnej formie wypowiedzi. Twoja odpowiedź powinna mieścić się w </w:t>
      </w:r>
      <w:r w:rsidR="001A2ED5" w:rsidRPr="00032F61">
        <w:rPr>
          <w:rFonts w:ascii="Calibri" w:eastAsia="Times New Roman" w:hAnsi="Calibri" w:cs="Calibri"/>
          <w:color w:val="auto"/>
          <w:sz w:val="22"/>
          <w:szCs w:val="22"/>
        </w:rPr>
        <w:t>2</w:t>
      </w:r>
      <w:r w:rsidR="00271D8A" w:rsidRPr="00032F61">
        <w:rPr>
          <w:rFonts w:ascii="Calibri" w:eastAsia="Times New Roman" w:hAnsi="Calibri" w:cs="Calibri"/>
          <w:color w:val="auto"/>
          <w:sz w:val="22"/>
          <w:szCs w:val="22"/>
        </w:rPr>
        <w:t>50 wyrazach.</w:t>
      </w:r>
    </w:p>
    <w:p w14:paraId="345F81B0" w14:textId="77777777" w:rsidR="007E37AE" w:rsidRPr="00032F61" w:rsidRDefault="007E37AE" w:rsidP="007E37AE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8884"/>
      </w:tblGrid>
      <w:tr w:rsidR="00C82BBB" w:rsidRPr="00032F61" w14:paraId="26EF31F2" w14:textId="77777777" w:rsidTr="00352058">
        <w:trPr>
          <w:trHeight w:val="1667"/>
        </w:trPr>
        <w:tc>
          <w:tcPr>
            <w:tcW w:w="8884" w:type="dxa"/>
          </w:tcPr>
          <w:p w14:paraId="4EFEFAFA" w14:textId="77777777" w:rsidR="00C82BBB" w:rsidRPr="00032F61" w:rsidRDefault="00C82BBB" w:rsidP="00352058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8E7860" w14:textId="1F2D9850" w:rsidR="008D0915" w:rsidRPr="00032F61" w:rsidRDefault="008D0915" w:rsidP="00605F31">
      <w:pPr>
        <w:pStyle w:val="Nagwek1"/>
        <w:rPr>
          <w:rFonts w:ascii="Calibri" w:hAnsi="Calibri" w:cs="Calibri"/>
          <w:sz w:val="22"/>
          <w:szCs w:val="22"/>
        </w:rPr>
      </w:pPr>
    </w:p>
    <w:sectPr w:rsidR="008D0915" w:rsidRPr="0003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6052"/>
    <w:multiLevelType w:val="hybridMultilevel"/>
    <w:tmpl w:val="0D12C57E"/>
    <w:lvl w:ilvl="0" w:tplc="A3E86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695"/>
    <w:multiLevelType w:val="hybridMultilevel"/>
    <w:tmpl w:val="813692E2"/>
    <w:lvl w:ilvl="0" w:tplc="43F8076E">
      <w:start w:val="1"/>
      <w:numFmt w:val="decimal"/>
      <w:lvlText w:val="%1."/>
      <w:lvlJc w:val="left"/>
      <w:pPr>
        <w:ind w:left="1069" w:hanging="360"/>
      </w:pPr>
      <w:rPr>
        <w:rFonts w:ascii="Segoe UI Symbol" w:eastAsia="MS Gothic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B0349"/>
    <w:multiLevelType w:val="hybridMultilevel"/>
    <w:tmpl w:val="DE3AE9EE"/>
    <w:lvl w:ilvl="0" w:tplc="F3780A52">
      <w:start w:val="1"/>
      <w:numFmt w:val="decimal"/>
      <w:lvlText w:val="%1."/>
      <w:lvlJc w:val="left"/>
      <w:pPr>
        <w:ind w:left="720" w:hanging="360"/>
      </w:pPr>
      <w:rPr>
        <w:rFonts w:asciiTheme="minorHAnsi" w:eastAsia="MS Gothic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1697C14"/>
    <w:multiLevelType w:val="hybridMultilevel"/>
    <w:tmpl w:val="D8D64400"/>
    <w:lvl w:ilvl="0" w:tplc="43F8076E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926BA"/>
    <w:multiLevelType w:val="hybridMultilevel"/>
    <w:tmpl w:val="6B504F42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753B48"/>
    <w:multiLevelType w:val="multilevel"/>
    <w:tmpl w:val="E34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970626"/>
    <w:multiLevelType w:val="hybridMultilevel"/>
    <w:tmpl w:val="DEFC2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408563B5"/>
    <w:multiLevelType w:val="hybridMultilevel"/>
    <w:tmpl w:val="BEC4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6617"/>
    <w:multiLevelType w:val="hybridMultilevel"/>
    <w:tmpl w:val="2266243A"/>
    <w:lvl w:ilvl="0" w:tplc="9AF8C304">
      <w:start w:val="1"/>
      <w:numFmt w:val="decimal"/>
      <w:lvlText w:val="%1."/>
      <w:lvlJc w:val="left"/>
      <w:pPr>
        <w:ind w:left="1069" w:hanging="360"/>
      </w:pPr>
      <w:rPr>
        <w:rFonts w:ascii="Segoe UI Symbol" w:eastAsia="MS Gothic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E14081"/>
    <w:multiLevelType w:val="hybridMultilevel"/>
    <w:tmpl w:val="ADA2C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35E"/>
    <w:multiLevelType w:val="hybridMultilevel"/>
    <w:tmpl w:val="C9A65D12"/>
    <w:lvl w:ilvl="0" w:tplc="43F8076E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4F966AEE"/>
    <w:multiLevelType w:val="hybridMultilevel"/>
    <w:tmpl w:val="F826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0EE5"/>
    <w:multiLevelType w:val="multilevel"/>
    <w:tmpl w:val="1AB4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0935214">
    <w:abstractNumId w:val="9"/>
  </w:num>
  <w:num w:numId="2" w16cid:durableId="2062509077">
    <w:abstractNumId w:val="11"/>
  </w:num>
  <w:num w:numId="3" w16cid:durableId="1158426680">
    <w:abstractNumId w:val="12"/>
  </w:num>
  <w:num w:numId="4" w16cid:durableId="500202210">
    <w:abstractNumId w:val="5"/>
  </w:num>
  <w:num w:numId="5" w16cid:durableId="1775712411">
    <w:abstractNumId w:val="8"/>
  </w:num>
  <w:num w:numId="6" w16cid:durableId="1996178080">
    <w:abstractNumId w:val="4"/>
  </w:num>
  <w:num w:numId="7" w16cid:durableId="532037977">
    <w:abstractNumId w:val="1"/>
  </w:num>
  <w:num w:numId="8" w16cid:durableId="363290668">
    <w:abstractNumId w:val="7"/>
  </w:num>
  <w:num w:numId="9" w16cid:durableId="1620843787">
    <w:abstractNumId w:val="3"/>
  </w:num>
  <w:num w:numId="10" w16cid:durableId="1033194307">
    <w:abstractNumId w:val="2"/>
  </w:num>
  <w:num w:numId="11" w16cid:durableId="1613780098">
    <w:abstractNumId w:val="10"/>
  </w:num>
  <w:num w:numId="12" w16cid:durableId="329256799">
    <w:abstractNumId w:val="6"/>
  </w:num>
  <w:num w:numId="13" w16cid:durableId="64542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915"/>
    <w:rsid w:val="00020145"/>
    <w:rsid w:val="00032F61"/>
    <w:rsid w:val="00091817"/>
    <w:rsid w:val="00130F98"/>
    <w:rsid w:val="0014744F"/>
    <w:rsid w:val="00194D18"/>
    <w:rsid w:val="001A2ED5"/>
    <w:rsid w:val="00223354"/>
    <w:rsid w:val="00271D8A"/>
    <w:rsid w:val="002E571D"/>
    <w:rsid w:val="003069E8"/>
    <w:rsid w:val="00316C9A"/>
    <w:rsid w:val="005118F0"/>
    <w:rsid w:val="00567EEA"/>
    <w:rsid w:val="00605F31"/>
    <w:rsid w:val="00615A2B"/>
    <w:rsid w:val="00775D6C"/>
    <w:rsid w:val="007E37AE"/>
    <w:rsid w:val="00861658"/>
    <w:rsid w:val="0088722A"/>
    <w:rsid w:val="008A2F0D"/>
    <w:rsid w:val="008D0915"/>
    <w:rsid w:val="008E007D"/>
    <w:rsid w:val="008E5182"/>
    <w:rsid w:val="008F6E49"/>
    <w:rsid w:val="009E2D96"/>
    <w:rsid w:val="00A2053B"/>
    <w:rsid w:val="00A62515"/>
    <w:rsid w:val="00A96C70"/>
    <w:rsid w:val="00B1301D"/>
    <w:rsid w:val="00B24AD6"/>
    <w:rsid w:val="00B504A6"/>
    <w:rsid w:val="00C11C02"/>
    <w:rsid w:val="00C473C7"/>
    <w:rsid w:val="00C82BBB"/>
    <w:rsid w:val="00D1308C"/>
    <w:rsid w:val="00E961C3"/>
    <w:rsid w:val="00F454A6"/>
    <w:rsid w:val="00FA630C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2DD7"/>
  <w15:chartTrackingRefBased/>
  <w15:docId w15:val="{D9051842-1940-418E-95A9-1D4F255D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9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0915"/>
    <w:pPr>
      <w:keepNext/>
      <w:keepLines/>
      <w:spacing w:before="40"/>
      <w:outlineLvl w:val="1"/>
    </w:pPr>
    <w:rPr>
      <w:rFonts w:ascii="Tahoma" w:eastAsiaTheme="majorEastAsia" w:hAnsi="Tahoma" w:cstheme="majorBidi"/>
      <w:color w:val="2E74B5" w:themeColor="accent1" w:themeShade="BF"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915"/>
    <w:rPr>
      <w:rFonts w:ascii="Tahoma" w:eastAsiaTheme="majorEastAsia" w:hAnsi="Tahoma" w:cstheme="majorBidi"/>
      <w:color w:val="2E74B5" w:themeColor="accent1" w:themeShade="BF"/>
      <w:sz w:val="20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09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A96C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6C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C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C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C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C7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96C7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6C70"/>
    <w:rPr>
      <w:color w:val="954F72" w:themeColor="followedHyperlink"/>
      <w:u w:val="single"/>
    </w:rPr>
  </w:style>
  <w:style w:type="paragraph" w:customStyle="1" w:styleId="Point2">
    <w:name w:val="Point 2"/>
    <w:basedOn w:val="Normalny"/>
    <w:rsid w:val="0014744F"/>
    <w:pPr>
      <w:spacing w:before="120" w:after="120"/>
      <w:ind w:left="1984" w:hanging="567"/>
      <w:jc w:val="both"/>
    </w:pPr>
    <w:rPr>
      <w:rFonts w:eastAsiaTheme="minorHAnsi"/>
      <w:szCs w:val="22"/>
      <w:lang w:eastAsia="en-US"/>
    </w:rPr>
  </w:style>
  <w:style w:type="table" w:styleId="Tabela-Siatka">
    <w:name w:val="Table Grid"/>
    <w:basedOn w:val="Standardowy"/>
    <w:uiPriority w:val="39"/>
    <w:rsid w:val="00C8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1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C02"/>
    <w:rPr>
      <w:color w:val="605E5C"/>
      <w:shd w:val="clear" w:color="auto" w:fill="E1DFDD"/>
    </w:rPr>
  </w:style>
  <w:style w:type="character" w:customStyle="1" w:styleId="content">
    <w:name w:val="content"/>
    <w:basedOn w:val="Domylnaczcionkaakapitu"/>
    <w:rsid w:val="00C1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N/TXT/?uri=CELEX%3A32022D2481" TargetMode="External"/><Relationship Id="rId5" Type="http://schemas.openxmlformats.org/officeDocument/2006/relationships/hyperlink" Target="https://eur-lex.europa.eu/legal-content/EN/TXT/?uri=CELEX%3A32022D24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Gruca Kalina</dc:creator>
  <cp:keywords/>
  <dc:description/>
  <cp:lastModifiedBy>PIIT</cp:lastModifiedBy>
  <cp:revision>19</cp:revision>
  <dcterms:created xsi:type="dcterms:W3CDTF">2023-05-31T06:34:00Z</dcterms:created>
  <dcterms:modified xsi:type="dcterms:W3CDTF">2023-05-31T06:56:00Z</dcterms:modified>
</cp:coreProperties>
</file>