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6F560C" w:rsidP="00564543">
      <w:pPr>
        <w:spacing w:before="120" w:after="120"/>
        <w:jc w:val="center"/>
        <w:rPr>
          <w:i/>
        </w:rPr>
      </w:pPr>
      <w:r w:rsidRPr="006F560C">
        <w:rPr>
          <w:i/>
        </w:rPr>
        <w:t>Wykorzystywanie technologii informacyjno-komunikacyjnych (TIK) w kształceniu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6F560C" w:rsidRDefault="006F560C" w:rsidP="007E49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Fundację</w:t>
      </w:r>
      <w:r w:rsidRPr="006F560C">
        <w:rPr>
          <w:rFonts w:ascii="Arial" w:hAnsi="Arial" w:cs="Arial"/>
        </w:rPr>
        <w:t xml:space="preserve"> VCC</w:t>
      </w:r>
      <w:r>
        <w:rPr>
          <w:rFonts w:ascii="Arial" w:hAnsi="Arial" w:cs="Arial"/>
        </w:rPr>
        <w:t>,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564543" w:rsidRDefault="00102F7E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6F560C" w:rsidRPr="006F560C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Wykorzystywanie technologii informacyjno-komunikacyjnych (TIK) w kształceniu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EA005D" w:rsidRPr="00367168" w:rsidRDefault="00950D64" w:rsidP="00950D6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Osoba posiadająca kwalifikację “Wykorzystywanie technolog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ii informacyjno-komunikacyjnych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(TIK) w kształceniu” (skrót nazwy: “TIK w kształceniu”) jes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 przygotowana do samodzielnego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planowania i wykorzystywania technologii informacyjn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o-komunikacyjnych w działaniach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edukacyjnych i usługach rozwojowych w realizowanych w tryb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 stacjonarnym lub hybrydowym.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Uzyskaniem kwalifikacji mogą być zainteresowani nauczyciele różnych poziomów naucz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ania,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 xml:space="preserve">wykładowcy szkół wyższych, trenerzy, </w:t>
            </w:r>
            <w:proofErr w:type="spellStart"/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coachowie</w:t>
            </w:r>
            <w:proofErr w:type="spellEnd"/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, mentorzy, tutorz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y, instruktorzy posługujący się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narzędziami TIK w prowadzeniu zajęć w trybie stacjonarnym i/lu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b hybrydowym. Kwalifikacja może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być wykorzystywana przez nauczycieli w przedszkolach, szkoła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ch na różnych poziomach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kształcenia, szkołach wyższych, a także przez treneró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coachów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mentorów, tutorów i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instruktorów w firmach szkoleniowych, wszelkiego 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odzaju firmach czy instytucjach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prowadzących zajęcia rozwijające dla dzieci, młodzieży i dorosłych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(np. domy kultury, biblioteki,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kółka zainteresowań). Orientacyjny nakład pracy potrzebny 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 uzyskania kwalifikacji został </w:t>
            </w:r>
            <w:r w:rsidRPr="00950D64">
              <w:rPr>
                <w:rFonts w:ascii="Arial" w:hAnsi="Arial" w:cs="Arial"/>
                <w:sz w:val="18"/>
                <w:szCs w:val="18"/>
                <w:lang w:val="pl-PL"/>
              </w:rPr>
              <w:t>oszacowany na 60 godzin. Orientacyjny koszt uzyskania kwalifikacji wynosi 2000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C23C7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60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“Wykorzystywanie technologii infor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macyjno-komunikacyjnych (TIK) 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kształceniu” (skrót nazwy: “TIK w kształceniu”) mogą by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zainteresowani: - nauczyciele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wychowania przedszkolnego, szkół podstawowych i ponadp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odstawowych różnych przedmiotów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posługujący się narzędziami TIK w kształceniu; - wykładowcy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szkół wyższych posługujący się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narzędziami TIK w nauczaniu; - trenerzy,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coachowie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mentorzy, tutorzy, instruktorzy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posługujący się narzędziami TIK w prowadzeniu zajęć.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950D64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950D64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 kwalifikacji “Wykorzystywanie technologii informacyjno-komunikacyjnych (TIK) w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kształceniu” jest podyktowane obecną sytuacją kształ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cenia ogólnego oraz kształcenia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informatycznego w szkołach, która stawia przed nauczyciela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 ogromne wyzwanie. Dynamiczny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rozwój technologii oraz wzrastające znaczenie In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ternetu spowodowały konieczność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systematycznego rozwoju kompetencji cyfrowych niemal wszy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stkich osób, a szczególnie tych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zaangażowanych w edukację, rozwój osobisty (takich jak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auczyciele różnych przedmiotów,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trenerzy, wykładowcy szkół wyższych,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coachowie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, mento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rzy, tutorzy czy instruktorzy).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przyczyni się do: · poprawy jakości nauczania i świad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czenia usług rozwoju osobistego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zakresie korzystania z TIK w procesach edukacyjnych realizowanych na każdym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oziomie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kształcenia formalnego, ale także w edukacji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· wzrostu kompetencji cyfrowych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nauczycieli, trenerów i wykładowców,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coachów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, trenerów, ment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orów, tutorów, instruktorów. Na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uwagę zasługuje fakt, że „Kompetencje informatyczne oraz umiejęt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ności wykorzystywania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narzędzi technologii informacyjno-komunikacyjnych (TIK) stanowią jedną z ośmiu kompetencji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kluczowych w procesie uczenia się przez całe życie, jaki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zostały opisane w zaleceniach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Parlamentu Europejskiego i Rady”. Kompetencje kluczowe zosta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ły zdefiniowane przez Parlament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Europejski i Radę jako „połączenie wiedzy, umiejętności i posta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odpowiednich do sytuacji”, co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potwierdza trafność założeń i słuszność podejmowanych działań w zakresie konieczności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stosowania i wykorzystywania technologii informacyjno-komu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nikacyjnej w pracy dydaktycznej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 względem metodycznym w celu poprawy jakości nauc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zania oraz spełniania oczekiwań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współczesnego społeczeństwa. (Zalecenie Parlamentu Europejskiego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Rady nr 2006/962/WE z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dn. 18 grudnia 2006 r. w sprawie kompetencji kluczowych w proces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uczenia się przez całe życie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(https://eur-lex.europa.eu/legal-content/PL/TXT/PDF/?uri=CELEX:32018H0604(01)&amp;from=en).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Kwalifikacja wpisuje się także w założenia Zintegrowanej Strategii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2030 jako polityki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rzecz rozwijania umiejętności zgodnie z ideą uczenia się prze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całe życie, w szczególności 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 oddziaływania III. “Rozwijanie umiejętności w edukacji 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ormalnej - kadry uczące”, Temat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działania: “6. Wspieranie rozwoju umiejętności zawo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dowych kadr uczących w edukacji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formalnej”, Kierunek działania: “6.5. rozwijanie oferty doskonalenia zawodowego w zakresie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najomości i umiejętności posługiwania się nowoczesnym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metodami i technikami w pracy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dydaktycznej, w tym z wykorzystaniem ICT i AI” oraz Obsz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 oddziaływania IV “Rozwijanie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poza edukacją formalną”, Temat działania “12.14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rozbudowa oferty doskonalenia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zawodowego kadry kształcącej i doskonalącej kadry uczące w edukacji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między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innymi z zakresu: [...] - znajomości i umiejętności posługiwa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się nowoczesnymi metodami 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technikami w pracy dydaktycznej, w tym z wykorzystaniem ICT i AI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” oraz “12.5. rozwijanie oferty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doskonalenia zawodowego w zakresie:(...)znajomości i umiejętności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posługiwania się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nowoczesnymi metodami i technikami w rozwijaniu umiejętnośc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i, w tym z wykorzystaniem ICT 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AI. Zgodnie z rekomendacjami zawartymi w ZSU 2030 “Coraz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bardziej widoczna jest potrzeba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tworzenia dla kadr uczących szerszych możliwości wiarygodne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certyfikowania nowych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umiejętności, wspierających rozwój zawodowy osób uczących,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podnoszących jakość ich pracy,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możliwych do wykorzystania w procesach awansu oraz przekwalifikowania. Możliwość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zdobywania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nowych kwalifikacji może stać się czynnikiem podn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oszącym atrakcyjność pracy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polegającej na uczeniu innych”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(https://www.gov.pl/web/edukacja-i-nauka/zintegrowana-strategi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a-umiejetnosci-2030-czesc-szcze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golowa--dokument-przyjety-przez-rade-ministrow ). Wyn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iki diagnozy zawarte w raporcie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opracowanym przez zespół badawczy Wydziału Pedagogicz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nego Uniwersytetu Warszawskiego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PCG Edukacja z 2017 roku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(http://www.nck.pl/upload/attachments/319726/RAPO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RT%20CYFRYZCJA%20SZK%C3%93%C5%8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1%202017.pdf) wskazują na następujące problemy: · zajęcia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wykorzystaniem TIK mają zwykle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tradycyjną strukturę, organizację i przebieg. Dominują metody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podające (74%), co wskazuje na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transmisyjny charakter edukacji. · 44% ankietowanych zadekl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arowało wykorzystanie cyfrowych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technologii kilka razy w tygodniu, zaś 32% w badanej grupie 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yni to codziennie, jednak aż co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drugi nauczyciel korzysta z TIK raz w tygodniu. · nauczyciel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dostrzegają, że zajęcia z TIK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uatrakcyjniają przebieg lekcji, wyzwalając aktywność i zaa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ngażowanie uczniów (na poziomie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dobrym ok. 57% i bardzo dobrym 21%), ale już niżej ocenia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 ich efektywność (na poziomie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dobrym ok. 48% i bardzo dobrym (23%). Wykorzystanie narzęd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 TIK w kształceniu pozwala na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odejście od przekazu jednokierunkowego od nauczyciela/trenera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ucznia/słuchacza jakim jest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wykład. Nowoczesne technologie sprzyjają rozwojow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nowych metod nauczania, które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wspomagają nauczanie przez nauczyciela i uczenie si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 przez ucznia, nadają bardziej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interaktywny, dynamiczny i dostosowany do współczesnej percep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ucznia charakter zajęć (np.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odwrócona klasa, grywalizacja, metoda projektowa). Trwająca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od 2020 roku pandemia COVID-19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postawiła przed systemami edukacji formalnej oraz dostawcami usług rozwojowych ogromne</w:t>
            </w:r>
          </w:p>
          <w:p w:rsidR="00950D64" w:rsidRPr="00950D64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wyzwania związane z koniecznością przeniesienia procesów edukacyjnych w przestrzeń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online.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Jednym z działań zapobiegających szerzeniu się pandemi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jest długotrwałe ograniczenie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działalności szkół i uczelni – według danych UNESCO na dzień 1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4 kwietnia 2020 r. dotyczyło to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blisko 1,6 mld, czyli 91,3% uczniów i studentów w 188 krajach. Doda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tkowo wprowadzono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ograniczenia dotyczące edukacji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.</w:t>
            </w:r>
          </w:p>
          <w:p w:rsidR="006152C9" w:rsidRPr="00102F7E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(https://www.rada.pifs.org.pl/wp-content/uploads/2020/10/Eduka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cja-cyfrowa_2020-09-22.pdf), co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wymagało szybkiego przejścia w kształcenie z wykorzystaniem technologii informacyjno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komunikacyjny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ch.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Jak wynika z powyższych danych kwalifikac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ja “Wykorzystywanie technologii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informacyjno-komunikacyjnych w kształceniu” jest zgodna zaró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wno z europejską, jak i krajową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polityką w dziedzinie edukacji i jej włączenie do ZSK jest potrzebne do ustandaryzowani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oraz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umiejętnego i efektywnego wykorzystania TIK w procesach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ształcenia na różnych poziomach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nauczania. Niewątpliwie odpowiada również na nową rzeczywist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ość i funkcjonowanie edukacji 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usług rozwojowych w sytuacji pandemicznej.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“Wykorzystywanie technologii informacyjno-komu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nikacyjnych w kształceniu” może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zawierać pojedyncze efekty uczenia się podobne do efektów uczenia się w kwalifikacji rynkowej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„Nauczanie z wykorzystaniem narzędzi do nauczania zdalnego” oraz „Projektowanie procesów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dydaktycznych w kształceniu zdalnym osób dorosłych”.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Podobieństwa te dotyczą jedynie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teoretycznych kwestii związanych z prawami autorskimi 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metodami nauczania, które nie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stanowią trzonu tych trzech kwalifikacji, więc nie stanowią o nak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ładaniu się zakresów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merytorycznych kwalifikacji. Kwalifikacja „Nauczanie z wykor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zystaniem narzędzi do nauczania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zdalnego” w przeciwieństwie do kwalifikacji “Wykorzystywanie technologii informacyjno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-komunikacyjnych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(TIK) w kształceniu” w aspektach praktyczn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jest ukierunkowana na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nauczanie z wykorzystaniem platform zdalnego nauczania. W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amach kwalifikacji „Nauczanie z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narzędzi do nauczania zdalnego” oso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ba podchodząca do walidacji nie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wykorzystuje narzędzi i urządzeń TIK, takich jak tablica multim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edialna, urządzenia mobilne czy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urządzenia peryferyjne typu skaner, drukarka 3D, 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gle VR itp. ani nie demonstruje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praktycznych umiejętności posługiwania się tego typu urządz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eniami (przygotowanie do pracy,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zajęć). Ponadto kwalifikacja „Nauczanie z wykor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zystaniem narzędzi do nauczania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zdalnego” nie uwzględnia opracowywania scenariusza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zajęć, ani nie prezentuje jego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praktycznej realizacji. Z kolei kwalifikacja „Projekt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owanie procesów dydaktycznych 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 zdalnym osób dorosłych” jest skierowana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głównie do metodyków nauczania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zdalnego oraz wykładowców uczelni wyższych i jest ukierunk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owana jedynie na nauczanie osób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dorosłych. Efekty uczenia się w kwalifikacji „Projekt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owanie procesów dydaktycznych 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 zdalnym osób dorosłych” koncentrują się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zede wszystkim na projektowaniu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procesów dydaktycznych w kształceniu zdalnym, nie dotyka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 tematyki wykorzystania TIK 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kształceniu. Kwalifikacja Wykorzystywanie technologii infor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macyjno-komunikacyjnych (TIK) w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”nie zawiera żadnych wspólnych zestawów efe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któw uczenia się z kwalifikacją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rynkową „Obsługa platformy do nauczania zdalnego”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Kwalifikacja “Wykorzystywanie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technologii informacyjno-komunikacyjnych (TIK) w ks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ztałceniu” może wykazywać pewne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podobieństwa z efektami kształcenia na studiach podyplomo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 oraz na różnych kierunkach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studiów (np. filologie, biologia, informatyka), na których realizo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wane są zajęcia z wykorzystania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TIK w edukacji. Efekty kształcenia wymagane w kontekśc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studiów w przeciwieństwie do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efektów uczenia się niniejszej kwalifikacji koncentrują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się jednak głównie na obsłudze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oprogramowania biurowego oraz platform do zdalnego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auczania, nie dotykają tematyki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wykorzystania narzędzi i urządzeń TIK, takich jak tablica multimedialna, urządzenia 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obilne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czy urządzenia peryferyjne typu skaner, drukarka 3D, 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gle VR itp. ani nie demonstruje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praktycznych umiejętności posługiwania się tego typu urządz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eniami (przygotowanie do pracy,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zajęć).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950D64" w:rsidP="00950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“Wykorzystywanie technologii informacyjno-komu</w:t>
            </w:r>
            <w:r w:rsid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nikacyjnych w kształceniu” może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być wykorzystywana przez nauczycieli w przedszkolach</w:t>
            </w:r>
            <w:r w:rsid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szkołach na różnych poziomach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(szkoły podstawowe i ponadpodstawowe), s</w:t>
            </w:r>
            <w:r w:rsid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zkołach wyższych, a także przez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trenerów, </w:t>
            </w:r>
            <w:proofErr w:type="spellStart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coachów</w:t>
            </w:r>
            <w:proofErr w:type="spellEnd"/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, mentorów, tutorów i instruktorów w fi</w:t>
            </w:r>
            <w:r w:rsid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rmach szkoleniowych, wszelkiego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rodzaju firmach czy instytucjach prowadzących zajęcia rozw</w:t>
            </w:r>
            <w:r w:rsid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ijające dla dzieci, młodzieży i </w:t>
            </w:r>
            <w:r w:rsidRPr="00950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dorosłych (np. domy kultury, biblioteki, kółka zainteresowań).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1. Metody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 weryfikacji efektów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uczenia się mogą być stosowane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następujące metody: 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test teoretyczny -obserwacja w warunkach symulowanych (symulacja) 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wywiad swobodny lub ustrukturyzowany (rozmowa z komisją) 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- analiza dowodów i deklaracji.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Weryfikacja składa się z dwóch części: teoretycznej oraz praktycznej. W części teoretycznej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wykorzystuje się metodę testu teoretycznego. W części praktycznej wykorzystuje się metody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obserwacji w warunkach symulowanych, wywiadu sw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obodnego lub ustrukturyzowanego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(rozmowa z komisją) lub analizy dowodów i deklaracji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. Metody wywiadu swobodnego lub ]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ustrukturyzowanego mogą być stosowane wyłącznie jako uzup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ełnienie obserwacji w warunkach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symulowanych lub analizy dowodów i deklaracji. 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1.2. Zasoby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kadrowe 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procesie weryfikacji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biorą udział: - w przypadku, gdy test teoretyczny przeprowadzany jest w elektr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onicznym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systemie operator systemu egzaminacyjnego, który nadzoruje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przebieg testu. Natomiast, gdy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test przeprowadzany jest poza systemem elektronic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znym należy zapewnić nadzór nad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prawidłowym przebiegiem tej części walidacji; - komisja walidacyjna, składaj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ąca się z co najmniej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2 asesorów, którzy przeprowadzają część praktyczną, natom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iast w przypadku, gdy test jest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przeprowadzany poza systemem elektronicznym komisja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odpowiada za sprawdzenie testu.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będąca asesorem może być jednocześnie operatorem system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egzaminacyjnego i osobą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nadzorującą przebieg testu teoretycznego prowadzoneg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poza systemem elektronicznym.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Operator systemu egzaminacyjnego musi posiadać: -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ykształcenie minimum średnie, -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znajomość obsługi komputera w zakresie uruchamiania 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podstawowej obsługi systemu 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zainstalowanych aplikacji, - umiejętność rozwiązywania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roblemów w sytuacji trudności z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nawiązaniem lub zanikiem połączenia internetowego lub obsługą przeglądarki w zakr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esie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kompatybilności z platformą egzaminacyjną. Weryfikac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ję efektów uczenia się w części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praktycznej prowadzi komisja walidacyjna, składająca się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minimum z 2 osób. Każdy członek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komisji walidacyjnej musi: - posiadać wykształcenie wyższe; - posiadać staż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acy minimum 3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lata w pracy dydaktycznej z wykorzystaniem </w:t>
            </w:r>
            <w:proofErr w:type="spellStart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TiK</w:t>
            </w:r>
            <w:proofErr w:type="spellEnd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lub przeprowa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dził minimum 300 godzin szkoleń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wykorzystania </w:t>
            </w:r>
            <w:proofErr w:type="spellStart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TiK</w:t>
            </w:r>
            <w:proofErr w:type="spellEnd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edukacji w ostatnich 5 latach; - jest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współautorem/autorem minimum 2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programów edukacyjnych (w tym programów nauczania) lub mate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riałów edukacyjnych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dotyczących Technologii Informacyjno-Komunikacyjnych Do zadań członków komisji należy m.in.: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- stosowanie kryteriów weryfikacji przypisanych do efe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któw uczenia się dla opisywanej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oraz kryteriów oceny formalnej i merytorycznej dowodów na posiadanie efektów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właściwych dla opisywanej kwalifikacji; - stosowanie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asad prowadzenia weryfikacji, a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także różnych metod weryfikacji efektów uczenia się, zgodni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z celami walidacji i zasadami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Zintegrowanego Systemu Kwalifikacji. Jeżeli instytucja certy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fikująca prowadzi kształcenie w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obszarze wnioskowanej kwalifikacji to musi stosować rozwią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zania zapewniające rozdzielenie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procesów kształcenia od walidacji. W szczególności istotne jest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zapewnienie bezstronności osób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przeprowadzających walidację m.in poprzez rozdział osobowy mający na celu zapobieganie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konfliktowi interesów osób przeprowadzających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walidację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Osoby te nie mogą weryfikować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efektów uczenia się osób, które były przez nie przygotowywane do uzyskania kwalifikacji 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1.3.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Sposób organizacji walidacji oraz warunki organizacyjne i materialne. 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certyfikująca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musi zapewnić: - w przypadku, gdy test teoretyczny przep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rowadzany jest w elektronicznym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systemie stanowisko komputerowe dla kandydata ubiegającego się o uzyskanie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(jedno stanowisko dla jednego kandydata), wyposażone w prze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glądarkę internetową z dostępem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</w:t>
            </w:r>
            <w:proofErr w:type="spellStart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internetu</w:t>
            </w:r>
            <w:proofErr w:type="spellEnd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oraz stolik i krzesła; - w przypadku, gdy test teore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tyczny jest przeprowadzany poza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systemem elektronicznym - arkusz testu oraz miejsce poz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walające na jego samodzielne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wypełnienie. Do przeprowadzania praktycznej części wali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dacji należy zapewnić pracownię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wyposażoną w: - oddzielne stanowisko komputerowe dla każdego uczestnika wyposażone w co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najmniej w komputer z dostępem do </w:t>
            </w:r>
            <w:proofErr w:type="spellStart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internetu</w:t>
            </w:r>
            <w:proofErr w:type="spellEnd"/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, wyposażony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kamerę i mikrofon, wspierany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 operacyjny, pakietem programów biurowych; - 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utnik, tablicę interaktywną lub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urządzenie alternatywne wraz z oprogramowaniem, drukarkę 3D,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gogle VR, skaner 3D, głośniki.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musi zapewnić bezstronną i niezależną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procedurę odwoławczą, w ramach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której osoby uczestniczące w procesie walidacji i certyfikacji,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mają możliwość odwołania się od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decyzji dotyczących spełnienia wymogów formalnych, samych egzaminó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w, a także decyzji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kończącej walidację. W przypadku negatywnego wyniku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walidacji instytucja prowadząca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walidację jest zobowiązana przedstawić uzasadnienie decy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zji. 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 Etapy identyfikowania 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</w:t>
            </w:r>
          </w:p>
          <w:p w:rsidR="00102F7E" w:rsidRPr="00102F7E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określa się wymagań. Walidacja może być w cało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ści lub w części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prowadzona zdalnie (online), pod warunkiem stosowania przez in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stytucję certyfikującą narzędzi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online zapewniających wiarygodne sprawdzenie, czy osoba ubiega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jąca się o nadanie kwalifikacji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rynkowej osiągnęła wyodrębnioną część lub całość efektów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uczenia się. Narzędzia i metody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stosowane w walidacji zdalnej powinny w szczególności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umożliwiać identyfikację osoby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przystępującej do walidacji, samodzielność pracy tej osoby i zab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ezpieczenie przebiegu walidacji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 ingerencją osób trzecich.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34524" w:rsidRPr="00102F7E" w:rsidTr="00134524">
        <w:trPr>
          <w:trHeight w:val="699"/>
        </w:trPr>
        <w:tc>
          <w:tcPr>
            <w:tcW w:w="533" w:type="dxa"/>
          </w:tcPr>
          <w:p w:rsidR="00134524" w:rsidRPr="00102F7E" w:rsidRDefault="00134524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134524" w:rsidRDefault="00134524" w:rsidP="007E496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Propozycja odniesienia do poziomu sektorowych ram kwalifikacji (o ile dotyczy)</w:t>
            </w:r>
          </w:p>
          <w:p w:rsidR="00134524" w:rsidRPr="00134524" w:rsidRDefault="00134524" w:rsidP="007E4966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5 poziom Sektorowej Ramy Kwalifikacji w sektorze Usług Rozwojowych</w:t>
            </w:r>
          </w:p>
        </w:tc>
        <w:tc>
          <w:tcPr>
            <w:tcW w:w="6686" w:type="dxa"/>
          </w:tcPr>
          <w:p w:rsidR="00134524" w:rsidRPr="00102F7E" w:rsidRDefault="00134524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134524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“Wykorzystywanie technolog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ii informacyjno-komunikacyjnych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(TIK) w kształceniu” (skrót nazwy: “TIK w kształceniu”) samodz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ielnie wykorzystuje technologie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informacyjno-komunikacyjne w prowadzeniu zajęć edukacyjnych i usług rozwojowych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Posługuje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wiedzą dotyczącą wykorzystania TIK w kształceniu z uwz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ględnieniem zasad higienicznego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korzystania z technologii w zależności od wieku ucz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estników zajęć. Będąc świadomym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niebezpieczeństw związanych z aktywnością w sieci, korzysta z legalnych i bezpiecznych źródeł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pozyskiwania wiedzy w Internecie przy tworzeniu materiał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ów edukacyjnych, a także tworzy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bezpieczne środowisko pracy dydaktycznej dla siebie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uczniów. Dobiera narzędzia TIK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do metod edukacyjnych. Tworzy atrakcyjne scenari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usze zajęć edukacyjnych z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TIK. Prowadzi zajęcia edukacyjne z wykorzys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taniem TIK, w tym posługuje się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sprzętem elektronicznym mającym zastosowanie w eduka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stacjonarnej i hybrydowej z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TIK (np. komputer, tablica interaktywna, gogle VR, drukarka 3D, skaner 3D).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Dokonuje ewaluacji pracy własnej i proponuje modyfikacje w scenariuszu zajęć z wykorzystaniem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TIK. Aktualizuje i doskonali swoją wiedzę oraz umiejętności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zakresu wykorzystywania TIK w </w:t>
            </w: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kształceniu.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</w:p>
          <w:p w:rsidR="00367168" w:rsidRPr="00B012A9" w:rsidRDefault="00C54ABB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134524"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Posługiwanie się wiedzą dotyczącą wykorzystania TIK w kształceniu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134524"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134524"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134524" w:rsidRDefault="00134524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01. </w:t>
            </w:r>
            <w:r w:rsidRPr="00134524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możliwości wykorzystania TIK w kształceniu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- Identyfikuje trendy w edukacji z wykorzystaniem TIK; - Wymienia źródła poszerzania swojej wiedzy o wykorzystaniu TIK w edukacji; - Omawia korzyści i zagrożenia z wykorzystania TIK w edukacji; - Omawia różnice pomiędzy nauczaniem stacjonarnym, zdalnym i hybrydowym.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02. </w:t>
            </w:r>
            <w:r w:rsidRPr="00134524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narzędzia TIK do komunikacji online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34524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Podaje przykłady platform komunikacyjnych (video-konferencyjnych) wykorzystywanych w edukacji; - Omawia funkcjonalności platform video-konferencyjnych mające zastosowanie w edukacji (np. komunikacja głosowa, tekstowa, wideo, przesyłanie plików, współdzielenie przestrzeni wirtualnej, narzędzia do współpracy, tworzenie ankiet itp.); - Podaje przykłady zastosowania portali społecznościowych w komunikacji online.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03. C</w:t>
            </w:r>
            <w:r w:rsidRPr="00134524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harakteryzuje narzędzia TIK do pracy grupowej</w:t>
            </w:r>
          </w:p>
          <w:p w:rsidR="00134524" w:rsidRPr="00134524" w:rsidRDefault="00134524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134524" w:rsidRPr="00A93DF0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Omawia możliwości zastosowania dysków wirtualnych w pracy grupowej na zajęciach; - Wskazuje przykładowe portale umożliwiające tworzenie przestrzeni z bazą materiałów edukacyjnych (np. </w:t>
            </w:r>
            <w:proofErr w:type="spellStart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padlet</w:t>
            </w:r>
            <w:proofErr w:type="spellEnd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proofErr w:type="spellStart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google</w:t>
            </w:r>
            <w:proofErr w:type="spellEnd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classroom</w:t>
            </w:r>
            <w:proofErr w:type="spellEnd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); - Podaje przykłady zastosowania tablic wirtualnych w pracy grupowej na zajęciach edukacyjnych; - Podaje przykłady zastosowania dokumentów online w pracy grupowej na zajęciach edukacyjnych; - Podaje przykłady zastosowania projektów/</w:t>
            </w:r>
            <w:proofErr w:type="spellStart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wiki</w:t>
            </w:r>
            <w:proofErr w:type="spellEnd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pracy grupowej na zajęciach edukacyjnych; - Podaje przykłady zastosowania portali społecznościowych w pracy grupowej na zajęciach edukacyjnych.</w:t>
            </w:r>
          </w:p>
          <w:p w:rsidR="00A93DF0" w:rsidRDefault="00A93DF0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34524" w:rsidRPr="00134524" w:rsidRDefault="00A93DF0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04. </w:t>
            </w:r>
            <w:r w:rsidR="00134524" w:rsidRPr="00134524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oprogramowanie do tworzenia interaktywnych materiałów edukacyjnych</w:t>
            </w:r>
          </w:p>
          <w:p w:rsidR="00134524" w:rsidRPr="00134524" w:rsidRDefault="00A93DF0" w:rsidP="0013452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134524" w:rsidRDefault="00134524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Podaje przykłady serwisów do tworzenia interaktywnych prezentacji oraz infografik; -</w:t>
            </w:r>
            <w:r w:rsidR="00A93DF0"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Wskazuje narzędzia do nagrywania i edycji </w:t>
            </w:r>
            <w:proofErr w:type="spellStart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screencastów</w:t>
            </w:r>
            <w:proofErr w:type="spellEnd"/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(cyfrowy zapis komputerowy</w:t>
            </w:r>
            <w:r w:rsidR="00A93DF0"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wyjścia ekranu) oraz prezentacji video; - Wymienia a</w:t>
            </w:r>
            <w:r w:rsidR="00A93DF0"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plikacje do weryfikacji wiedzy, </w:t>
            </w:r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prowadzenia testów online i tworzenia ankiet; - Wymienia </w:t>
            </w:r>
            <w:r w:rsidR="00A93DF0"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serwisy umożliwiające tworzenie </w:t>
            </w:r>
            <w:r w:rsidRPr="00A93DF0">
              <w:rPr>
                <w:rFonts w:ascii="Arial" w:hAnsi="Arial" w:cs="Arial"/>
                <w:bCs/>
                <w:sz w:val="18"/>
                <w:szCs w:val="20"/>
                <w:lang w:val="pl-PL"/>
              </w:rPr>
              <w:t>gier i interaktywnych zadań edukacyjnych.</w:t>
            </w:r>
          </w:p>
          <w:p w:rsidR="00416940" w:rsidRPr="00A93DF0" w:rsidRDefault="00416940" w:rsidP="0013452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1694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05. Charakteryzuje sprzęt elektroniczny mający zastosowanie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w kształceniu z wykorzystaniem </w:t>
            </w:r>
            <w:r w:rsidRPr="0041694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TIK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1694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możliwości wykorzystania urządzeń elektronicznych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zajęciach edukacyjnych (np.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komputer, tablica interaktywna, gogle VR, drukarka 3D,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skaner 3D); - Wymienia elementy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zestawu interaktywnego (tablica, rzutnik, komputer) i wyjaśnia ich działanie; -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Charakteryzuje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możliwości zastosowania urządzeń mobilnych na zajęciach edukacyjnych.</w:t>
            </w:r>
          </w:p>
          <w:p w:rsidR="00416940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1694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05. Charakteryzuje zasady tworzenia bezpiecznych i hi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gienicznych warunków pracy przy </w:t>
            </w:r>
            <w:r w:rsidRPr="0041694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wykorzystaniu TIK w kształceniu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1694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3065E" w:rsidRPr="0033065E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zasady ergonomii pracy z komputerem (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np. odległość wzroku od ekranu,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doświetlenie miejsca pracy, prawidłowa postawa podczas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pracy); - Podaje zalecane czasy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nieprzerwanej pracy z urządzeniami elektronicznymi dla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óżnych grup wiekowych; - Podaje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przykłady syndromów chorobowych związanych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pracą przy komputerze i sposoby </w:t>
            </w:r>
            <w:r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zapobiegania im.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416940"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Przygotowywanie materiałów dydaktycznych uwzględniających TIK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416940"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416940"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20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416940" w:rsidRPr="00711E5B" w:rsidRDefault="00416940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01. </w:t>
            </w:r>
            <w:r w:rsidRPr="0041694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Dostosowuje narzędzia TIK do wybranej metody edukacyjnej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53355A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- Wskazuje narzędzia TIK mające zastosowanie w metodach podających (np. wykład, objaśnienie, opis, prelekcja, anegdota); - Wskazuje narzędzia TIK mające zastosowanie w metodach oparte na obserwacji i pomiarze (np. demonstracja przedmiotów, zjawisk, procesów poprzez m. in. modele, obrazy, symulacje procesów w wirtualnej rzeczywistości, doświadczenia wykonywane przez prowadzącego); - Wskazuje narzędzia TIK mające zastosowanie w metodach opartych na praktycznej działalności ucznia (np. metoda projektów, ćwiczenia laboratoryjne, ćwiczenia produkcyjne); - Wskazuje narzędzia TIK mające zastosowanie w metodach aktywizujących (np. gry dydaktyczne, inscenizacja, metoda przypadków).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02. Korzysta z legalnych i bezpiecznych źródeł pozyskiwania wiedzy w Internecie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416940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- Wyszukuje i kwalifikuje materiały dydaktyczne (np. gra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fiki, zdjęcia, filmy, muzyka) z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legalnych i bezpiecznych źródeł, korzystając z mechanizmów/filtrów wyszukiwania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wbudowanych w wyszukiwarki; - Wymienia portale i s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erwisy edukacyjne dla uczniów i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nauczycieli z uwzględnieniem wirtualnych muzeów oraz ar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chiwów i bibliotek cyfrowych; -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Rozróżnia rodzaje praw autorskich (osobiste i majątkowe) i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licencji (np. domena publiczna, </w:t>
            </w:r>
            <w:proofErr w:type="spellStart"/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creative</w:t>
            </w:r>
            <w:proofErr w:type="spellEnd"/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commons</w:t>
            </w:r>
            <w:proofErr w:type="spellEnd"/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itp.) do wykorzystania materiałów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udostępnianych w Internecie na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zajęciach edukacyjnych; - Wskazuje zagrożenia wynikające z 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rzystania z sieci Internet oraz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sposoby zabezpieczania się przed nimi.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03. </w:t>
            </w:r>
            <w:r w:rsidRPr="0041694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Tworzy scenariusz zajęć edukacyjnych z wykorzystaniem TIK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- Tworzy listę e-materiałów potrzebnych do realizacji scenariusza zajęć; - Opracowuje listę</w:t>
            </w:r>
          </w:p>
          <w:p w:rsidR="0033065E" w:rsidRPr="0033065E" w:rsidRDefault="00416940" w:rsidP="0041694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sprzętu elektronicznego potrzebnego do realizacji scenar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iusza zajęć; - Dobiera metody i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narzędzia TIK do treści edukacyjnych; - Projektuje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aktywność w scenariuszu zajęć z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wykorzystaniem narzędzi TIK, uwzględniając tryb sta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cjonarny lub hybrydowy zajęć; -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Projektuje element ewaluacji pracy uczestników zaję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ć edukacyjnych z wykorzystaniem </w:t>
            </w:r>
            <w:r w:rsidRPr="00416940">
              <w:rPr>
                <w:rFonts w:ascii="Arial" w:hAnsi="Arial" w:cs="Arial"/>
                <w:bCs/>
                <w:sz w:val="18"/>
                <w:szCs w:val="18"/>
                <w:lang w:val="pl-PL"/>
              </w:rPr>
              <w:t>narzędzi TIK.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16940"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Wykorzystywanie sprzętu elektronicznego i oprogramowania w kształceniu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16940"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16940" w:rsidRPr="00416940">
              <w:rPr>
                <w:rFonts w:ascii="Arial" w:hAnsi="Arial" w:cs="Arial"/>
                <w:bCs/>
                <w:sz w:val="18"/>
                <w:szCs w:val="20"/>
                <w:lang w:val="pl-PL"/>
              </w:rPr>
              <w:t>35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sz w:val="18"/>
                <w:szCs w:val="18"/>
                <w:lang w:val="pl-PL"/>
              </w:rPr>
              <w:t>01. Dokonuje ewaluacji pracy własnej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- Na podstawie ankiet uczestników oraz raportów z wykonanych ćwiczeń formułuje wnioski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dotyczące przebiegu zajęć z wykorzyst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aniem narzędzi TIK; - Proponuje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usprawnienia/modyfikacje w scenariuszu zajęć lub/i strukturze projektow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anych ćwiczeń; -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Tworzy plan dalszego rozwoju zawodowego w obszarze wykorzystania TIK na zajęciach.</w:t>
            </w:r>
          </w:p>
          <w:p w:rsid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sz w:val="18"/>
                <w:szCs w:val="18"/>
                <w:lang w:val="pl-PL"/>
              </w:rPr>
              <w:t>02. Prowadzi zajęcia edukacyjne z wykorzystaniem TIK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 xml:space="preserve">- Prezentuje realizację elementu </w:t>
            </w:r>
            <w:proofErr w:type="spellStart"/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wiedzowego</w:t>
            </w:r>
            <w:proofErr w:type="spellEnd"/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 xml:space="preserve"> scenariusza zajęć (np.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wykładu, pogadanki,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 xml:space="preserve">anegdoty, prezentacji) w oparciu o przygotowane przez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siebie materiały, wykorzystując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wybrane narzędzia TIK z uwzględnieniem specyfiki grupy doc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elowej; - Prezentuje realizację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elementu interaktywnego (np. ćwiczeń, burzy mózgów, mapy myś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li, projektu ) scenariusza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zajęć i przygotowanych materiałów, wykorzystując wybrane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narzędzia TIK z uwzględnieniem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specyfiki grupy docelowej; - Prezentuje realizację elementu 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estowego scenariusza zajęć (np.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testu wiedzy, ankiety) i przygotowanych materiałów, wykorz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ystując wybrane narzędzia TIK z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uwzględnieniem specyfiki grupy docelowej; - Eksportuje i pobiera tworzone przez siebie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materiały do wykorzystania w formie drukowanej lub prac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 offline; - Generuje raporty z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ćwiczeń wykonanych przez uczestników zajęć edukacyj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nych; - Łączy się na platformie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komunikacyjnej z uczestnikami w celu przeprowadzenia zajęć; - Udostępnia ekran w celu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prezentacji materiałów edukacyjnych; - Tworzy katalo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 online i udostępnia materiały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edukacyjne uczestnikom; - Tworzy ankietę ewaluacyjną z wykorzystaniem TIK; - Przekazuje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informację zwrotną uczestnikom zajęć z wykorzystaniem narzędzi TIK.</w:t>
            </w:r>
          </w:p>
          <w:p w:rsid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sz w:val="18"/>
                <w:szCs w:val="18"/>
                <w:lang w:val="pl-PL"/>
              </w:rPr>
              <w:t>03. Przygotowuje środowisko pracy do zajęć edukacyjnych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16940" w:rsidRPr="00416940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- Instaluje i konfiguruje oprogramowanie potrzebne do pra</w:t>
            </w:r>
            <w:r w:rsidR="005D46C8">
              <w:rPr>
                <w:rFonts w:ascii="Arial" w:hAnsi="Arial" w:cs="Arial"/>
                <w:sz w:val="18"/>
                <w:szCs w:val="18"/>
                <w:lang w:val="pl-PL"/>
              </w:rPr>
              <w:t xml:space="preserve">cy edukacyjnej, w szczególności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oprogramowanie do tablicy interaktywnej, komunikator, do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datki i wtyczki do przeglądarek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internetowych; - Podłącza i przygotowuje do pracy zestaw interaktywny (tablica interaktywna</w:t>
            </w:r>
          </w:p>
          <w:p w:rsidR="0033065E" w:rsidRDefault="00416940" w:rsidP="0041694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lub urządzenie alternatywne, komputer); - Podłącza i p</w:t>
            </w:r>
            <w:r w:rsidR="005D46C8">
              <w:rPr>
                <w:rFonts w:ascii="Arial" w:hAnsi="Arial" w:cs="Arial"/>
                <w:sz w:val="18"/>
                <w:szCs w:val="18"/>
                <w:lang w:val="pl-PL"/>
              </w:rPr>
              <w:t xml:space="preserve">rzygotowuje do pracy urządzenia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peryferyjne (np. drukarka 3D, skaner, głośniki, gogle VR</w:t>
            </w:r>
            <w:r w:rsidR="005D46C8">
              <w:rPr>
                <w:rFonts w:ascii="Arial" w:hAnsi="Arial" w:cs="Arial"/>
                <w:sz w:val="18"/>
                <w:szCs w:val="18"/>
                <w:lang w:val="pl-PL"/>
              </w:rPr>
              <w:t xml:space="preserve">, skaner 3D); - Planuje zajęcia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edukacyjne i wysyła zaproszenia do uczestników za</w:t>
            </w:r>
            <w:r w:rsidR="005D46C8">
              <w:rPr>
                <w:rFonts w:ascii="Arial" w:hAnsi="Arial" w:cs="Arial"/>
                <w:sz w:val="18"/>
                <w:szCs w:val="18"/>
                <w:lang w:val="pl-PL"/>
              </w:rPr>
              <w:t xml:space="preserve"> pomocą poczty elektronicznej i </w:t>
            </w:r>
            <w:r w:rsidRPr="00416940">
              <w:rPr>
                <w:rFonts w:ascii="Arial" w:hAnsi="Arial" w:cs="Arial"/>
                <w:sz w:val="18"/>
                <w:szCs w:val="18"/>
                <w:lang w:val="pl-PL"/>
              </w:rPr>
              <w:t>kalendarza.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D46C8" w:rsidRPr="005D46C8" w:rsidRDefault="005D46C8" w:rsidP="005D46C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46C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04. </w:t>
            </w:r>
            <w:r w:rsidRPr="005D46C8">
              <w:rPr>
                <w:rFonts w:ascii="Arial" w:hAnsi="Arial" w:cs="Arial"/>
                <w:b/>
                <w:sz w:val="18"/>
                <w:szCs w:val="18"/>
                <w:lang w:val="pl-PL"/>
              </w:rPr>
              <w:t>Tworzy bezpieczne środowisko pracy dydaktycznej dla siebie i uczniów</w:t>
            </w:r>
          </w:p>
          <w:p w:rsidR="005D46C8" w:rsidRDefault="005D46C8" w:rsidP="005D46C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46C8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5D46C8" w:rsidRDefault="005D46C8" w:rsidP="005D46C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- Identyfikuje zagrożenia związane z korzystaniem z si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eci Internet (np. niebezpieczne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oprogramowanie); - Rozpoznaje rodzaje typowych oszustw internetowych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np.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scam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phishing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;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- Definiuje sposoby reagowania na zagrożenia w sieci (</w:t>
            </w:r>
            <w:proofErr w:type="spellStart"/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hate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fake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news,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trolling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kradzież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treści, grooming i inne); -Rozpoznaje treści szkodliwe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niebezpieczne dla różnych grup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 xml:space="preserve">wiekowych wskazuje sposoby reagowania na nie; - Wskazuje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instytucje świadczące pomoc w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tym przypadku wystąpienia zagrożeń w sieci (np. telefon 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la rodziców 800 100 100, strona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dyzurnet.pl); - Omawia zasady korzystania z portali społeczn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ościowych w zależności od grupy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użytkowników (np. ograniczenia wiekowe). - Korzysta z 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stawień prywatności w serwisach </w:t>
            </w:r>
            <w:r w:rsidRPr="005D46C8">
              <w:rPr>
                <w:rFonts w:ascii="Arial" w:hAnsi="Arial" w:cs="Arial"/>
                <w:sz w:val="18"/>
                <w:szCs w:val="18"/>
                <w:lang w:val="pl-PL"/>
              </w:rPr>
              <w:t>społecznościowych; - Tworzy silne hasła zabezpieczające konta internetowe.</w:t>
            </w:r>
          </w:p>
          <w:p w:rsidR="005D46C8" w:rsidRPr="00E65FFB" w:rsidRDefault="005D46C8" w:rsidP="005D46C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C23C72" w:rsidRPr="00C23C72">
              <w:rPr>
                <w:rFonts w:ascii="Arial" w:hAnsi="Arial" w:cs="Arial"/>
                <w:bCs/>
                <w:sz w:val="18"/>
                <w:szCs w:val="20"/>
                <w:lang w:val="pl-PL"/>
              </w:rPr>
              <w:t>142 - Nauka o kształceniu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02F7E" w:rsidRPr="00102F7E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C23C72" w:rsidRPr="00C23C7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85.59.B </w:t>
            </w:r>
            <w:r w:rsidR="00C23C7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="00C23C72" w:rsidRPr="00C23C7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Pozostałe pozaszkolne formy edukacji, gdzie indziej niesklasyfikowane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40" w:rsidRDefault="00416940" w:rsidP="00EA005D">
      <w:pPr>
        <w:spacing w:after="0" w:line="240" w:lineRule="auto"/>
      </w:pPr>
      <w:r>
        <w:separator/>
      </w:r>
    </w:p>
  </w:endnote>
  <w:endnote w:type="continuationSeparator" w:id="0">
    <w:p w:rsidR="00416940" w:rsidRDefault="00416940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416940" w:rsidRDefault="00416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C8">
          <w:rPr>
            <w:noProof/>
          </w:rPr>
          <w:t>10</w:t>
        </w:r>
        <w:r>
          <w:fldChar w:fldCharType="end"/>
        </w:r>
      </w:p>
    </w:sdtContent>
  </w:sdt>
  <w:p w:rsidR="00416940" w:rsidRDefault="00416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40" w:rsidRDefault="00416940" w:rsidP="00EA005D">
      <w:pPr>
        <w:spacing w:after="0" w:line="240" w:lineRule="auto"/>
      </w:pPr>
      <w:r>
        <w:separator/>
      </w:r>
    </w:p>
  </w:footnote>
  <w:footnote w:type="continuationSeparator" w:id="0">
    <w:p w:rsidR="00416940" w:rsidRDefault="00416940" w:rsidP="00EA005D">
      <w:pPr>
        <w:spacing w:after="0" w:line="240" w:lineRule="auto"/>
      </w:pPr>
      <w:r>
        <w:continuationSeparator/>
      </w:r>
    </w:p>
  </w:footnote>
  <w:footnote w:id="1">
    <w:p w:rsidR="00416940" w:rsidRDefault="00416940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34524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67168"/>
    <w:rsid w:val="003E378E"/>
    <w:rsid w:val="00416940"/>
    <w:rsid w:val="00420C92"/>
    <w:rsid w:val="00466946"/>
    <w:rsid w:val="004A393D"/>
    <w:rsid w:val="004B5B86"/>
    <w:rsid w:val="00502897"/>
    <w:rsid w:val="0053355A"/>
    <w:rsid w:val="00554DC2"/>
    <w:rsid w:val="00564543"/>
    <w:rsid w:val="005C662E"/>
    <w:rsid w:val="005D46C8"/>
    <w:rsid w:val="006152C9"/>
    <w:rsid w:val="00640E60"/>
    <w:rsid w:val="00657865"/>
    <w:rsid w:val="006730A6"/>
    <w:rsid w:val="006767B3"/>
    <w:rsid w:val="006F560C"/>
    <w:rsid w:val="00711E5B"/>
    <w:rsid w:val="00716272"/>
    <w:rsid w:val="00724767"/>
    <w:rsid w:val="0073215D"/>
    <w:rsid w:val="00740510"/>
    <w:rsid w:val="007B3781"/>
    <w:rsid w:val="007E4966"/>
    <w:rsid w:val="00810EDA"/>
    <w:rsid w:val="00832F43"/>
    <w:rsid w:val="00860BC1"/>
    <w:rsid w:val="00877A10"/>
    <w:rsid w:val="00916B27"/>
    <w:rsid w:val="00920287"/>
    <w:rsid w:val="00950D64"/>
    <w:rsid w:val="0098511A"/>
    <w:rsid w:val="009F01A3"/>
    <w:rsid w:val="00A2376C"/>
    <w:rsid w:val="00A93DF0"/>
    <w:rsid w:val="00A972C8"/>
    <w:rsid w:val="00B012A9"/>
    <w:rsid w:val="00B7723F"/>
    <w:rsid w:val="00BD3EC7"/>
    <w:rsid w:val="00BE432D"/>
    <w:rsid w:val="00C23C72"/>
    <w:rsid w:val="00C54ABB"/>
    <w:rsid w:val="00CD594C"/>
    <w:rsid w:val="00CF4BBB"/>
    <w:rsid w:val="00D444D1"/>
    <w:rsid w:val="00D56BD1"/>
    <w:rsid w:val="00D977E2"/>
    <w:rsid w:val="00E44B5B"/>
    <w:rsid w:val="00E61BAF"/>
    <w:rsid w:val="00E65FFB"/>
    <w:rsid w:val="00E66F35"/>
    <w:rsid w:val="00EA005D"/>
    <w:rsid w:val="00EC7627"/>
    <w:rsid w:val="00F20F14"/>
    <w:rsid w:val="00F56693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C19638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4308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23</cp:revision>
  <cp:lastPrinted>2018-08-31T10:17:00Z</cp:lastPrinted>
  <dcterms:created xsi:type="dcterms:W3CDTF">2022-04-21T08:21:00Z</dcterms:created>
  <dcterms:modified xsi:type="dcterms:W3CDTF">2023-03-06T13:09:00Z</dcterms:modified>
</cp:coreProperties>
</file>