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57296569"/>
    <w:bookmarkStart w:id="1" w:name="_MON_958200993"/>
    <w:bookmarkStart w:id="2" w:name="_MON_958201497"/>
    <w:bookmarkEnd w:id="0"/>
    <w:bookmarkEnd w:id="1"/>
    <w:bookmarkEnd w:id="2"/>
    <w:bookmarkStart w:id="3" w:name="_MON_962180240"/>
    <w:bookmarkEnd w:id="3"/>
    <w:p w14:paraId="403C3EA4" w14:textId="77777777" w:rsidR="004961B5" w:rsidRPr="00C30CC6" w:rsidRDefault="004961B5" w:rsidP="004961B5">
      <w:pPr>
        <w:spacing w:after="0" w:line="240" w:lineRule="auto"/>
        <w:jc w:val="center"/>
        <w:rPr>
          <w:b/>
        </w:rPr>
      </w:pPr>
      <w:r w:rsidRPr="004961B5">
        <w:rPr>
          <w:rFonts w:ascii="Times New Roman" w:hAnsi="Times New Roman"/>
          <w:b/>
        </w:rPr>
        <w:object w:dxaOrig="4275" w:dyaOrig="3927" w14:anchorId="3F5FB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75pt;height:100.9pt" o:ole="" fillcolor="window">
            <v:imagedata r:id="rId8" o:title=""/>
          </v:shape>
          <o:OLEObject Type="Embed" ProgID="Word.Picture.8" ShapeID="_x0000_i1025" DrawAspect="Content" ObjectID="_1705306593" r:id="rId9"/>
        </w:object>
      </w:r>
    </w:p>
    <w:p w14:paraId="623BFDAE" w14:textId="77777777" w:rsidR="004961B5" w:rsidRPr="00C30CC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961B5" w:rsidRPr="00C30CC6" w14:paraId="71E240FF" w14:textId="77777777" w:rsidTr="004961B5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27FEFD4" w14:textId="77777777"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28"/>
              </w:rPr>
            </w:pPr>
          </w:p>
          <w:p w14:paraId="712055E7" w14:textId="77777777" w:rsidR="004961B5" w:rsidRPr="00C30CC6" w:rsidRDefault="004961B5" w:rsidP="004961B5">
            <w:pPr>
              <w:spacing w:after="0" w:line="240" w:lineRule="auto"/>
              <w:jc w:val="center"/>
              <w:rPr>
                <w:b/>
                <w:smallCaps/>
                <w:sz w:val="36"/>
              </w:rPr>
            </w:pPr>
            <w:r w:rsidRPr="00C30CC6">
              <w:rPr>
                <w:b/>
                <w:smallCaps/>
                <w:sz w:val="36"/>
              </w:rPr>
              <w:t>Projekt Stanowiska RP</w:t>
            </w:r>
          </w:p>
          <w:p w14:paraId="008C8079" w14:textId="77777777" w:rsidR="004961B5" w:rsidRPr="00C30CC6" w:rsidRDefault="004961B5" w:rsidP="004961B5">
            <w:pPr>
              <w:pStyle w:val="Nagwek3"/>
              <w:shd w:val="pct12" w:color="auto" w:fill="FFFFFF"/>
              <w:spacing w:before="0" w:after="0"/>
              <w:jc w:val="center"/>
              <w:rPr>
                <w:rFonts w:ascii="Calibri" w:hAnsi="Calibri"/>
                <w:b/>
                <w:smallCaps/>
              </w:rPr>
            </w:pPr>
          </w:p>
          <w:p w14:paraId="292957AF" w14:textId="77777777"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 xml:space="preserve">przygotowany w związku z art. </w:t>
            </w:r>
            <w:r w:rsidR="007E0AE4" w:rsidRPr="00C30CC6">
              <w:rPr>
                <w:i/>
              </w:rPr>
              <w:t>7</w:t>
            </w:r>
            <w:r w:rsidRPr="00C30CC6">
              <w:rPr>
                <w:i/>
              </w:rPr>
              <w:t xml:space="preserve"> ustawy z dnia 8 października 2010 r. </w:t>
            </w:r>
          </w:p>
          <w:p w14:paraId="3215911E" w14:textId="77777777"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>o współpracy Rady Ministrów z Sejmem i Senatem w sprawach związanych z członkostwem Rzeczypospolitej Polskiej w Unii Europejskiej (Dz. U. Nr 213, poz. 1395)</w:t>
            </w:r>
          </w:p>
          <w:p w14:paraId="006D0840" w14:textId="77777777" w:rsidR="004961B5" w:rsidRPr="00C30CC6" w:rsidRDefault="004961B5" w:rsidP="004961B5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14:paraId="0FE4729C" w14:textId="77777777" w:rsidR="004961B5" w:rsidRPr="00C30CC6" w:rsidRDefault="004961B5" w:rsidP="004961B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306D76" w14:paraId="37253CFA" w14:textId="77777777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4A0D8A96" w14:textId="77777777" w:rsidR="004961B5" w:rsidRPr="00306D76" w:rsidRDefault="004961B5" w:rsidP="004961B5">
            <w:pPr>
              <w:spacing w:after="0" w:line="240" w:lineRule="auto"/>
            </w:pPr>
            <w:r w:rsidRPr="00306D76">
              <w:rPr>
                <w:b/>
              </w:rPr>
              <w:t>Dotyczy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147F5" w14:textId="77777777" w:rsidR="007A70A9" w:rsidRPr="00306D76" w:rsidRDefault="00DD7605" w:rsidP="001C3DA3">
            <w:pPr>
              <w:spacing w:after="0" w:line="240" w:lineRule="auto"/>
              <w:jc w:val="both"/>
            </w:pPr>
            <w:r w:rsidRPr="00306D76">
              <w:t xml:space="preserve">1. </w:t>
            </w:r>
            <w:r w:rsidR="004961B5" w:rsidRPr="00306D76">
              <w:t xml:space="preserve">Wniosek ROZPORZĄDZENIE PARLAMENTU EUROPEJSKIEGO I RADY </w:t>
            </w:r>
            <w:r w:rsidR="001C3DA3" w:rsidRPr="00306D76">
              <w:t xml:space="preserve">ustanawiające </w:t>
            </w:r>
            <w:r w:rsidR="007A70A9" w:rsidRPr="00306D76">
              <w:t>europejski pojedynczy punkt dostępu zapewniający scentralizowany dostęp do publicznie dostępnych informacji mających znaczenie dla usług finansowych, rynków kapitałowych i zrównoważonego rozwoju</w:t>
            </w:r>
          </w:p>
          <w:p w14:paraId="58D7DB48" w14:textId="39DC53E7" w:rsidR="001956D9" w:rsidRPr="00306D76" w:rsidRDefault="007A70A9" w:rsidP="001C3DA3">
            <w:pPr>
              <w:spacing w:after="0" w:line="240" w:lineRule="auto"/>
              <w:jc w:val="both"/>
            </w:pPr>
            <w:r w:rsidRPr="00306D76">
              <w:t>2</w:t>
            </w:r>
            <w:r w:rsidR="00ED03A9" w:rsidRPr="00306D76">
              <w:t>.</w:t>
            </w:r>
            <w:r w:rsidR="00306D76">
              <w:t xml:space="preserve"> </w:t>
            </w:r>
            <w:r w:rsidR="001956D9" w:rsidRPr="00306D76">
              <w:t>Wniosek DYREKTYWA PARLAMENTU EUROPEJSKIEGO I RADY zmieniający określone dyrektywy w odniesieniu do ustanowienia i funkcjonowania pojedynczego punktu dostępu</w:t>
            </w:r>
          </w:p>
          <w:p w14:paraId="37CC6401" w14:textId="50F723FF" w:rsidR="007A70A9" w:rsidRPr="00306D76" w:rsidRDefault="001956D9" w:rsidP="001956D9">
            <w:pPr>
              <w:spacing w:after="0" w:line="240" w:lineRule="auto"/>
              <w:jc w:val="both"/>
            </w:pPr>
            <w:r w:rsidRPr="00306D76">
              <w:t xml:space="preserve">3. </w:t>
            </w:r>
            <w:r w:rsidR="00DD7605" w:rsidRPr="00306D76">
              <w:t>Wniosek ROZPORZĄDZENIE PARLAMENTU EUROPEJSKIEGO I RADY zmienia</w:t>
            </w:r>
            <w:r w:rsidR="007A70A9" w:rsidRPr="00306D76">
              <w:t>jące określone rozporządzenia</w:t>
            </w:r>
            <w:r w:rsidRPr="00306D76">
              <w:t xml:space="preserve"> </w:t>
            </w:r>
            <w:r w:rsidR="007A70A9" w:rsidRPr="00306D76">
              <w:rPr>
                <w:rFonts w:eastAsiaTheme="minorHAnsi"/>
                <w:color w:val="000000"/>
              </w:rPr>
              <w:t>w odniesieniu do ustanowienia i funkcjonowania pojedynczego punktu dostępu</w:t>
            </w:r>
          </w:p>
        </w:tc>
      </w:tr>
    </w:tbl>
    <w:p w14:paraId="2AA108A8" w14:textId="2A486A7B" w:rsidR="004961B5" w:rsidRPr="00306D7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306D76" w14:paraId="246A2CEA" w14:textId="77777777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7ED5D398" w14:textId="77777777" w:rsidR="004961B5" w:rsidRPr="00306D76" w:rsidRDefault="007E0AE4" w:rsidP="004961B5">
            <w:pPr>
              <w:spacing w:after="0" w:line="240" w:lineRule="auto"/>
            </w:pPr>
            <w:r w:rsidRPr="00306D76">
              <w:rPr>
                <w:b/>
              </w:rPr>
              <w:t>Data przekazania Polsce dokumentu przez instytucje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361C1" w14:textId="77777777" w:rsidR="004961B5" w:rsidRPr="00306D76" w:rsidRDefault="00DD7605" w:rsidP="00D60AF6">
            <w:pPr>
              <w:spacing w:after="0" w:line="240" w:lineRule="auto"/>
            </w:pPr>
            <w:r w:rsidRPr="00306D76">
              <w:t>…</w:t>
            </w:r>
            <w:r w:rsidR="005F3681" w:rsidRPr="00306D76">
              <w:t xml:space="preserve"> </w:t>
            </w:r>
            <w:r w:rsidR="00D60AF6" w:rsidRPr="00306D76">
              <w:t>stycznia 2022</w:t>
            </w:r>
            <w:r w:rsidR="004961B5" w:rsidRPr="00306D76">
              <w:t xml:space="preserve"> r.</w:t>
            </w:r>
          </w:p>
        </w:tc>
      </w:tr>
    </w:tbl>
    <w:p w14:paraId="1849D3F8" w14:textId="77777777" w:rsidR="004961B5" w:rsidRPr="00306D7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2905"/>
      </w:tblGrid>
      <w:tr w:rsidR="004961B5" w:rsidRPr="00306D76" w14:paraId="48EABC83" w14:textId="77777777" w:rsidTr="004961B5">
        <w:trPr>
          <w:cantSplit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auto" w:fill="FFFFFF"/>
            <w:vAlign w:val="center"/>
          </w:tcPr>
          <w:p w14:paraId="63558518" w14:textId="77777777" w:rsidR="004961B5" w:rsidRPr="00306D76" w:rsidRDefault="004961B5" w:rsidP="004961B5">
            <w:pPr>
              <w:spacing w:after="0" w:line="240" w:lineRule="auto"/>
              <w:rPr>
                <w:b/>
              </w:rPr>
            </w:pPr>
            <w:r w:rsidRPr="00306D76">
              <w:rPr>
                <w:b/>
              </w:rPr>
              <w:t>Sygnatura dokumentu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FC5CE" w14:textId="77777777" w:rsidR="004961B5" w:rsidRPr="00306D76" w:rsidRDefault="004961B5" w:rsidP="004961B5">
            <w:pPr>
              <w:spacing w:after="0" w:line="240" w:lineRule="auto"/>
            </w:pPr>
            <w:r w:rsidRPr="00306D76">
              <w:t>Komisja Europejska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B452BE" w14:textId="57FA1DF9" w:rsidR="004961B5" w:rsidRPr="00306D76" w:rsidRDefault="00CF765C" w:rsidP="004961B5">
            <w:pPr>
              <w:spacing w:after="0" w:line="240" w:lineRule="auto"/>
            </w:pPr>
            <w:r w:rsidRPr="00306D76">
              <w:t xml:space="preserve">1) </w:t>
            </w:r>
            <w:r w:rsidR="00DF0C34" w:rsidRPr="00306D76">
              <w:t>COM(2021)723</w:t>
            </w:r>
          </w:p>
          <w:p w14:paraId="49D713DF" w14:textId="315CB7DE" w:rsidR="00E90391" w:rsidRPr="00306D76" w:rsidRDefault="00CF765C" w:rsidP="004961B5">
            <w:pPr>
              <w:spacing w:after="0" w:line="240" w:lineRule="auto"/>
            </w:pPr>
            <w:r w:rsidRPr="00306D76">
              <w:t xml:space="preserve">2) </w:t>
            </w:r>
            <w:r w:rsidR="00E90391" w:rsidRPr="00306D76">
              <w:t>COM(2021)724</w:t>
            </w:r>
          </w:p>
          <w:p w14:paraId="5B222B7A" w14:textId="4D069464" w:rsidR="00E90391" w:rsidRPr="00306D76" w:rsidRDefault="00CF765C" w:rsidP="004961B5">
            <w:pPr>
              <w:spacing w:after="0" w:line="240" w:lineRule="auto"/>
            </w:pPr>
            <w:r w:rsidRPr="00306D76">
              <w:t xml:space="preserve">3) </w:t>
            </w:r>
            <w:r w:rsidR="00E90391" w:rsidRPr="00306D76">
              <w:t>COM(2021)725</w:t>
            </w:r>
          </w:p>
        </w:tc>
      </w:tr>
      <w:tr w:rsidR="004961B5" w:rsidRPr="00306D76" w14:paraId="4249BB9E" w14:textId="77777777" w:rsidTr="004961B5">
        <w:trPr>
          <w:cantSplit/>
        </w:trPr>
        <w:tc>
          <w:tcPr>
            <w:tcW w:w="29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14:paraId="704EDB95" w14:textId="77777777" w:rsidR="004961B5" w:rsidRPr="00306D76" w:rsidRDefault="004961B5" w:rsidP="004961B5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AD5D9" w14:textId="77777777" w:rsidR="004961B5" w:rsidRPr="00306D76" w:rsidRDefault="004961B5" w:rsidP="004961B5">
            <w:pPr>
              <w:spacing w:after="0" w:line="240" w:lineRule="auto"/>
            </w:pPr>
            <w:r w:rsidRPr="00306D76">
              <w:t>Numer międzyinstytucjonalny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FA9CE7" w14:textId="1077AAE1" w:rsidR="004961B5" w:rsidRPr="00306D76" w:rsidRDefault="00CF765C" w:rsidP="004961B5">
            <w:pPr>
              <w:spacing w:after="0" w:line="240" w:lineRule="auto"/>
            </w:pPr>
            <w:r w:rsidRPr="00306D76">
              <w:t xml:space="preserve">1) </w:t>
            </w:r>
            <w:r w:rsidR="00DF0C34" w:rsidRPr="00306D76">
              <w:t>2021/0378</w:t>
            </w:r>
            <w:r w:rsidR="001C3DA3" w:rsidRPr="00306D76">
              <w:t xml:space="preserve"> </w:t>
            </w:r>
            <w:r w:rsidR="004961B5" w:rsidRPr="00306D76">
              <w:t>(COD)</w:t>
            </w:r>
          </w:p>
          <w:p w14:paraId="1262372B" w14:textId="0DDFB3A9" w:rsidR="00E90391" w:rsidRPr="00306D76" w:rsidRDefault="00CF765C" w:rsidP="004961B5">
            <w:pPr>
              <w:spacing w:after="0" w:line="240" w:lineRule="auto"/>
            </w:pPr>
            <w:r w:rsidRPr="00306D76">
              <w:t xml:space="preserve">2) </w:t>
            </w:r>
            <w:r w:rsidR="00E90391" w:rsidRPr="00306D76">
              <w:t>021/0379 (COD)</w:t>
            </w:r>
          </w:p>
          <w:p w14:paraId="5CEB19CD" w14:textId="59FC142A" w:rsidR="00E90391" w:rsidRPr="00306D76" w:rsidRDefault="00CF765C" w:rsidP="004961B5">
            <w:pPr>
              <w:spacing w:after="0" w:line="240" w:lineRule="auto"/>
            </w:pPr>
            <w:r w:rsidRPr="00306D76">
              <w:t xml:space="preserve">3) </w:t>
            </w:r>
            <w:r w:rsidR="00E90391" w:rsidRPr="00306D76">
              <w:t>2021/0380 (COD)</w:t>
            </w:r>
          </w:p>
        </w:tc>
      </w:tr>
    </w:tbl>
    <w:p w14:paraId="21AF76B0" w14:textId="77777777" w:rsidR="004961B5" w:rsidRPr="00306D7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306D76" w14:paraId="770B1401" w14:textId="77777777" w:rsidTr="004961B5">
        <w:trPr>
          <w:trHeight w:val="46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6369130E" w14:textId="77777777" w:rsidR="004961B5" w:rsidRPr="00306D76" w:rsidRDefault="004961B5" w:rsidP="004961B5">
            <w:pPr>
              <w:spacing w:after="0" w:line="240" w:lineRule="auto"/>
              <w:rPr>
                <w:b/>
              </w:rPr>
            </w:pPr>
            <w:r w:rsidRPr="00306D76">
              <w:rPr>
                <w:b/>
              </w:rPr>
              <w:t>Procedura decyzyjna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CE71D" w14:textId="77777777" w:rsidR="004961B5" w:rsidRPr="00306D76" w:rsidRDefault="004961B5" w:rsidP="004961B5">
            <w:pPr>
              <w:spacing w:after="0" w:line="240" w:lineRule="auto"/>
            </w:pPr>
            <w:r w:rsidRPr="00306D76">
              <w:t xml:space="preserve"> </w:t>
            </w:r>
            <w:r w:rsidR="005F3681" w:rsidRPr="00306D76">
              <w:t>Zwykła procedura legislacyjna</w:t>
            </w:r>
          </w:p>
        </w:tc>
      </w:tr>
    </w:tbl>
    <w:p w14:paraId="7F0B6DB6" w14:textId="77777777" w:rsidR="004961B5" w:rsidRPr="00306D7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306D76" w14:paraId="56F90AC9" w14:textId="77777777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747CC8FD" w14:textId="77777777" w:rsidR="004961B5" w:rsidRPr="00306D76" w:rsidRDefault="004961B5" w:rsidP="004961B5">
            <w:pPr>
              <w:spacing w:after="0" w:line="240" w:lineRule="auto"/>
              <w:rPr>
                <w:b/>
              </w:rPr>
            </w:pPr>
            <w:r w:rsidRPr="00306D76">
              <w:rPr>
                <w:b/>
              </w:rPr>
              <w:t>Tryb głosowania w Radzie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78512" w14:textId="77777777" w:rsidR="004961B5" w:rsidRPr="00306D76" w:rsidRDefault="004961B5" w:rsidP="004961B5">
            <w:pPr>
              <w:spacing w:after="0" w:line="240" w:lineRule="auto"/>
            </w:pPr>
            <w:r w:rsidRPr="00306D76">
              <w:t xml:space="preserve"> </w:t>
            </w:r>
            <w:r w:rsidR="005F3681" w:rsidRPr="00306D76">
              <w:t>Większość kwalifikowana</w:t>
            </w:r>
          </w:p>
        </w:tc>
      </w:tr>
    </w:tbl>
    <w:p w14:paraId="2B1F959D" w14:textId="77777777" w:rsidR="004961B5" w:rsidRPr="00306D7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306D76" w14:paraId="6B3D33C7" w14:textId="77777777" w:rsidTr="004961B5">
        <w:trPr>
          <w:trHeight w:val="488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75BB84A5" w14:textId="77777777" w:rsidR="004961B5" w:rsidRPr="00306D76" w:rsidRDefault="004961B5" w:rsidP="004961B5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306D76">
              <w:rPr>
                <w:rFonts w:ascii="Calibri" w:hAnsi="Calibri"/>
                <w:sz w:val="22"/>
                <w:szCs w:val="22"/>
              </w:rPr>
              <w:t xml:space="preserve">Instytucja wiodąca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C9B43" w14:textId="77777777" w:rsidR="004961B5" w:rsidRPr="00306D76" w:rsidRDefault="004961B5" w:rsidP="004961B5">
            <w:pPr>
              <w:spacing w:after="0" w:line="240" w:lineRule="auto"/>
            </w:pPr>
            <w:r w:rsidRPr="00306D76">
              <w:t>Ministerstwo Finansów</w:t>
            </w:r>
          </w:p>
        </w:tc>
      </w:tr>
    </w:tbl>
    <w:p w14:paraId="25F83C5A" w14:textId="77777777" w:rsidR="004961B5" w:rsidRPr="00306D76" w:rsidRDefault="004961B5" w:rsidP="004961B5">
      <w:pPr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306D76" w14:paraId="57A8D63F" w14:textId="77777777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3F300144" w14:textId="77777777" w:rsidR="004961B5" w:rsidRPr="00306D76" w:rsidRDefault="004961B5" w:rsidP="004961B5">
            <w:pPr>
              <w:spacing w:after="0" w:line="240" w:lineRule="auto"/>
              <w:rPr>
                <w:b/>
              </w:rPr>
            </w:pPr>
            <w:r w:rsidRPr="00306D76">
              <w:rPr>
                <w:b/>
              </w:rPr>
              <w:t xml:space="preserve">Instytucje współpracujące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D6CDD" w14:textId="77777777" w:rsidR="004961B5" w:rsidRPr="00306D76" w:rsidRDefault="004961B5" w:rsidP="004961B5">
            <w:pPr>
              <w:spacing w:after="0" w:line="240" w:lineRule="auto"/>
            </w:pPr>
            <w:r w:rsidRPr="00306D76">
              <w:t xml:space="preserve"> </w:t>
            </w:r>
            <w:r w:rsidR="00D60AF6" w:rsidRPr="00306D76">
              <w:t>Urząd Komisji Nadzoru Finansowego</w:t>
            </w:r>
          </w:p>
          <w:p w14:paraId="2B3627FD" w14:textId="77777777" w:rsidR="00D60AF6" w:rsidRPr="00306D76" w:rsidRDefault="00D60AF6" w:rsidP="004961B5">
            <w:pPr>
              <w:spacing w:after="0" w:line="240" w:lineRule="auto"/>
            </w:pPr>
            <w:r w:rsidRPr="00306D76">
              <w:t xml:space="preserve"> Narodowy Bank Polski</w:t>
            </w:r>
          </w:p>
        </w:tc>
      </w:tr>
    </w:tbl>
    <w:p w14:paraId="033017B7" w14:textId="77777777" w:rsidR="004961B5" w:rsidRPr="00306D76" w:rsidRDefault="004961B5" w:rsidP="004961B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4961B5" w:rsidRPr="00306D76" w14:paraId="2368FEA6" w14:textId="77777777" w:rsidTr="004961B5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14:paraId="670A7F60" w14:textId="77777777" w:rsidR="00A07714" w:rsidRPr="00306D76" w:rsidRDefault="004961B5" w:rsidP="004961B5">
            <w:pPr>
              <w:spacing w:after="0" w:line="240" w:lineRule="auto"/>
              <w:rPr>
                <w:b/>
              </w:rPr>
            </w:pPr>
            <w:r w:rsidRPr="00306D76">
              <w:rPr>
                <w:b/>
              </w:rPr>
              <w:t xml:space="preserve">Data przyjęcia </w:t>
            </w:r>
          </w:p>
          <w:p w14:paraId="18C5730D" w14:textId="77777777" w:rsidR="004961B5" w:rsidRPr="00306D76" w:rsidRDefault="004961B5" w:rsidP="004961B5">
            <w:pPr>
              <w:spacing w:after="0" w:line="240" w:lineRule="auto"/>
              <w:rPr>
                <w:b/>
              </w:rPr>
            </w:pPr>
            <w:r w:rsidRPr="00306D76">
              <w:rPr>
                <w:b/>
              </w:rPr>
              <w:t>przez KSE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76C9" w14:textId="77777777" w:rsidR="004961B5" w:rsidRPr="00306D76" w:rsidRDefault="00D60AF6" w:rsidP="004961B5">
            <w:pPr>
              <w:pStyle w:val="Nagwek8"/>
              <w:rPr>
                <w:rFonts w:ascii="Calibri" w:hAnsi="Calibri"/>
                <w:i w:val="0"/>
                <w:sz w:val="22"/>
                <w:szCs w:val="22"/>
              </w:rPr>
            </w:pPr>
            <w:r w:rsidRPr="00306D76">
              <w:rPr>
                <w:rFonts w:ascii="Calibri" w:hAnsi="Calibri"/>
                <w:i w:val="0"/>
                <w:sz w:val="22"/>
                <w:szCs w:val="22"/>
              </w:rPr>
              <w:t>…. stycznia 2022</w:t>
            </w:r>
            <w:r w:rsidR="004961B5" w:rsidRPr="00306D76">
              <w:rPr>
                <w:rFonts w:ascii="Calibri" w:hAnsi="Calibri"/>
                <w:i w:val="0"/>
                <w:sz w:val="22"/>
                <w:szCs w:val="22"/>
              </w:rPr>
              <w:t xml:space="preserve"> r.</w:t>
            </w:r>
          </w:p>
        </w:tc>
      </w:tr>
    </w:tbl>
    <w:p w14:paraId="0DFDE2ED" w14:textId="77777777" w:rsidR="004961B5" w:rsidRPr="00306D76" w:rsidRDefault="004961B5" w:rsidP="004961B5">
      <w:pPr>
        <w:spacing w:after="0" w:line="240" w:lineRule="auto"/>
        <w:rPr>
          <w:b/>
          <w:sz w:val="24"/>
          <w:szCs w:val="24"/>
        </w:rPr>
        <w:sectPr w:rsidR="004961B5" w:rsidRPr="00306D76" w:rsidSect="007F0C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0" w:right="1418" w:bottom="0" w:left="1418" w:header="6" w:footer="0" w:gutter="0"/>
          <w:cols w:space="708"/>
          <w:docGrid w:linePitch="360"/>
        </w:sectPr>
      </w:pPr>
    </w:p>
    <w:p w14:paraId="5FF74F8C" w14:textId="77777777" w:rsidR="004961B5" w:rsidRPr="00C30CC6" w:rsidRDefault="004961B5" w:rsidP="00F6428A">
      <w:pPr>
        <w:pStyle w:val="Nagwek5"/>
        <w:spacing w:line="276" w:lineRule="auto"/>
        <w:jc w:val="both"/>
        <w:rPr>
          <w:rFonts w:ascii="Calibri" w:hAnsi="Calibri"/>
        </w:rPr>
      </w:pPr>
      <w:r w:rsidRPr="00C30CC6">
        <w:rPr>
          <w:rFonts w:ascii="Calibri" w:hAnsi="Calibri"/>
        </w:rPr>
        <w:lastRenderedPageBreak/>
        <w:t>Cel projektu aktu prawnego</w:t>
      </w:r>
    </w:p>
    <w:p w14:paraId="2DB3A991" w14:textId="77777777" w:rsidR="004961B5" w:rsidRPr="00C30CC6" w:rsidRDefault="004961B5" w:rsidP="00F6428A">
      <w:pPr>
        <w:spacing w:after="0"/>
        <w:jc w:val="both"/>
      </w:pPr>
    </w:p>
    <w:p w14:paraId="30BEB0F7" w14:textId="3DB8D738" w:rsidR="005A6009" w:rsidRPr="004B67CE" w:rsidRDefault="005A6009" w:rsidP="00F6428A">
      <w:pPr>
        <w:tabs>
          <w:tab w:val="left" w:pos="4181"/>
          <w:tab w:val="left" w:pos="9212"/>
        </w:tabs>
        <w:spacing w:after="60"/>
        <w:jc w:val="both"/>
        <w:rPr>
          <w:sz w:val="24"/>
          <w:szCs w:val="24"/>
        </w:rPr>
      </w:pPr>
      <w:r w:rsidRPr="004B67CE">
        <w:rPr>
          <w:sz w:val="24"/>
          <w:szCs w:val="24"/>
        </w:rPr>
        <w:t>Niniejszy wniosek stanowi część pakietu mającego na celu urzeczywistnienie powstania Unii Rynków Kapitałowych poprzez utwo</w:t>
      </w:r>
      <w:r w:rsidR="005C1D86">
        <w:rPr>
          <w:sz w:val="24"/>
          <w:szCs w:val="24"/>
        </w:rPr>
        <w:t>rzenie europejskiego pojedynczego</w:t>
      </w:r>
      <w:r w:rsidRPr="004B67CE">
        <w:rPr>
          <w:sz w:val="24"/>
          <w:szCs w:val="24"/>
        </w:rPr>
        <w:t xml:space="preserve"> punk</w:t>
      </w:r>
      <w:r w:rsidR="00F91DC0">
        <w:rPr>
          <w:sz w:val="24"/>
          <w:szCs w:val="24"/>
        </w:rPr>
        <w:t>t</w:t>
      </w:r>
      <w:r w:rsidRPr="004B67CE">
        <w:rPr>
          <w:sz w:val="24"/>
          <w:szCs w:val="24"/>
        </w:rPr>
        <w:t xml:space="preserve">u dostępu (ang. </w:t>
      </w:r>
      <w:proofErr w:type="spellStart"/>
      <w:r w:rsidRPr="004B67CE">
        <w:rPr>
          <w:color w:val="000000"/>
          <w:sz w:val="24"/>
          <w:szCs w:val="24"/>
        </w:rPr>
        <w:t>European</w:t>
      </w:r>
      <w:proofErr w:type="spellEnd"/>
      <w:r w:rsidRPr="004B67CE">
        <w:rPr>
          <w:color w:val="000000"/>
          <w:sz w:val="24"/>
          <w:szCs w:val="24"/>
        </w:rPr>
        <w:t xml:space="preserve"> Single Access Point</w:t>
      </w:r>
      <w:r w:rsidRPr="004B67CE">
        <w:rPr>
          <w:sz w:val="24"/>
          <w:szCs w:val="24"/>
        </w:rPr>
        <w:t xml:space="preserve"> - ESAP</w:t>
      </w:r>
      <w:r w:rsidRPr="004B67CE">
        <w:rPr>
          <w:color w:val="000000"/>
          <w:sz w:val="24"/>
          <w:szCs w:val="24"/>
        </w:rPr>
        <w:t>)</w:t>
      </w:r>
      <w:r w:rsidR="007E6B98" w:rsidRPr="004B67CE">
        <w:rPr>
          <w:color w:val="000000"/>
          <w:sz w:val="24"/>
          <w:szCs w:val="24"/>
        </w:rPr>
        <w:t>.</w:t>
      </w:r>
      <w:r w:rsidRPr="004B67CE">
        <w:rPr>
          <w:sz w:val="24"/>
          <w:szCs w:val="24"/>
        </w:rPr>
        <w:t xml:space="preserve">   </w:t>
      </w:r>
    </w:p>
    <w:p w14:paraId="079717F7" w14:textId="0AA96919" w:rsidR="00B914D8" w:rsidRPr="004B67CE" w:rsidRDefault="00B914D8" w:rsidP="00F6428A">
      <w:pPr>
        <w:tabs>
          <w:tab w:val="left" w:pos="4181"/>
          <w:tab w:val="left" w:pos="9212"/>
        </w:tabs>
        <w:spacing w:after="60"/>
        <w:jc w:val="both"/>
        <w:rPr>
          <w:sz w:val="24"/>
          <w:szCs w:val="24"/>
        </w:rPr>
      </w:pPr>
      <w:r w:rsidRPr="004B67CE">
        <w:rPr>
          <w:sz w:val="24"/>
          <w:szCs w:val="24"/>
        </w:rPr>
        <w:t xml:space="preserve">Komisja Europejska zaprezentowała wniosek legislacyjny dotyczący ESAP składający się z 3 dokumentów: </w:t>
      </w:r>
    </w:p>
    <w:p w14:paraId="4A7F1AAC" w14:textId="2E568954" w:rsidR="00B914D8" w:rsidRPr="004B67CE" w:rsidRDefault="00B914D8" w:rsidP="00F6428A">
      <w:pPr>
        <w:pStyle w:val="Akapitzlist"/>
        <w:numPr>
          <w:ilvl w:val="0"/>
          <w:numId w:val="3"/>
        </w:numPr>
        <w:tabs>
          <w:tab w:val="left" w:pos="4181"/>
          <w:tab w:val="left" w:pos="9212"/>
        </w:tabs>
        <w:spacing w:after="60"/>
        <w:ind w:left="357" w:hanging="357"/>
        <w:contextualSpacing w:val="0"/>
        <w:jc w:val="both"/>
        <w:rPr>
          <w:rFonts w:eastAsiaTheme="minorHAnsi"/>
          <w:color w:val="000000"/>
          <w:sz w:val="24"/>
          <w:szCs w:val="24"/>
        </w:rPr>
      </w:pPr>
      <w:r w:rsidRPr="004B67CE">
        <w:rPr>
          <w:sz w:val="24"/>
          <w:szCs w:val="24"/>
        </w:rPr>
        <w:t>rozporządzenia ustanawiającego ESAP (</w:t>
      </w:r>
      <w:r w:rsidR="00AE505A">
        <w:rPr>
          <w:sz w:val="24"/>
          <w:szCs w:val="24"/>
        </w:rPr>
        <w:t>projektu rozporządzenia</w:t>
      </w:r>
      <w:r w:rsidR="007A70A9">
        <w:rPr>
          <w:sz w:val="24"/>
          <w:szCs w:val="24"/>
        </w:rPr>
        <w:t xml:space="preserve"> Parlamentu Europejskiego i Rady ustanawiające europejski pojedynczy punkt dostępu zapewniający scentralizowany dostęp do publicznie dostępnych informacji mających znaczenie dla usług finansowych, rynków kapitałowych i zrównoważonego rozwoju</w:t>
      </w:r>
      <w:r w:rsidRPr="004B67CE">
        <w:rPr>
          <w:rFonts w:eastAsiaTheme="minorHAnsi"/>
          <w:color w:val="000000"/>
          <w:sz w:val="24"/>
          <w:szCs w:val="24"/>
        </w:rPr>
        <w:t xml:space="preserve">), </w:t>
      </w:r>
    </w:p>
    <w:p w14:paraId="092F1E51" w14:textId="13352509" w:rsidR="00B914D8" w:rsidRPr="00F91DC0" w:rsidRDefault="00B914D8" w:rsidP="00F6428A">
      <w:pPr>
        <w:pStyle w:val="Akapitzlist"/>
        <w:numPr>
          <w:ilvl w:val="0"/>
          <w:numId w:val="3"/>
        </w:numPr>
        <w:tabs>
          <w:tab w:val="left" w:pos="4181"/>
          <w:tab w:val="left" w:pos="9212"/>
        </w:tabs>
        <w:spacing w:after="60"/>
        <w:ind w:left="357" w:hanging="357"/>
        <w:contextualSpacing w:val="0"/>
        <w:jc w:val="both"/>
        <w:rPr>
          <w:rFonts w:eastAsiaTheme="minorHAnsi"/>
          <w:color w:val="000000"/>
          <w:sz w:val="24"/>
          <w:szCs w:val="24"/>
        </w:rPr>
      </w:pPr>
      <w:r w:rsidRPr="00F91DC0">
        <w:rPr>
          <w:rFonts w:eastAsiaTheme="minorHAnsi"/>
          <w:color w:val="000000"/>
          <w:sz w:val="24"/>
          <w:szCs w:val="24"/>
        </w:rPr>
        <w:t>rozporządzenia zmieniającego (</w:t>
      </w:r>
      <w:r w:rsidR="00AE505A">
        <w:rPr>
          <w:rFonts w:eastAsiaTheme="minorHAnsi"/>
          <w:color w:val="000000"/>
          <w:sz w:val="24"/>
          <w:szCs w:val="24"/>
        </w:rPr>
        <w:t>projektu rozporządzenia</w:t>
      </w:r>
      <w:r w:rsidR="001E6052">
        <w:rPr>
          <w:rFonts w:eastAsiaTheme="minorHAnsi"/>
          <w:color w:val="000000"/>
          <w:sz w:val="24"/>
          <w:szCs w:val="24"/>
        </w:rPr>
        <w:t xml:space="preserve"> Parlamentu Europejskiego i Rady zmieniające niektóre rozporządzenia w odniesieniu do ustanowienia i funkcjonowania pojedynczego punktu dostępu</w:t>
      </w:r>
      <w:r w:rsidRPr="00F91DC0">
        <w:rPr>
          <w:rFonts w:eastAsiaTheme="minorHAnsi"/>
          <w:color w:val="000000"/>
          <w:sz w:val="24"/>
          <w:szCs w:val="24"/>
        </w:rPr>
        <w:t>),</w:t>
      </w:r>
    </w:p>
    <w:p w14:paraId="6FAAB721" w14:textId="33C21D79" w:rsidR="00B914D8" w:rsidRPr="00F91DC0" w:rsidRDefault="00B914D8" w:rsidP="00F6428A">
      <w:pPr>
        <w:pStyle w:val="Akapitzlist"/>
        <w:numPr>
          <w:ilvl w:val="0"/>
          <w:numId w:val="3"/>
        </w:numPr>
        <w:tabs>
          <w:tab w:val="left" w:pos="4181"/>
          <w:tab w:val="left" w:pos="9212"/>
        </w:tabs>
        <w:spacing w:after="60"/>
        <w:ind w:left="357" w:hanging="357"/>
        <w:contextualSpacing w:val="0"/>
        <w:jc w:val="both"/>
        <w:rPr>
          <w:sz w:val="24"/>
          <w:szCs w:val="24"/>
        </w:rPr>
      </w:pPr>
      <w:r w:rsidRPr="00F91DC0">
        <w:rPr>
          <w:rFonts w:eastAsiaTheme="minorHAnsi"/>
          <w:color w:val="000000"/>
          <w:sz w:val="24"/>
          <w:szCs w:val="24"/>
        </w:rPr>
        <w:t>dyrektywy zmieniającej (</w:t>
      </w:r>
      <w:r w:rsidR="00AE505A">
        <w:rPr>
          <w:rFonts w:eastAsiaTheme="minorHAnsi"/>
          <w:color w:val="000000"/>
          <w:sz w:val="24"/>
          <w:szCs w:val="24"/>
        </w:rPr>
        <w:t>projektu dyrektywy</w:t>
      </w:r>
      <w:r w:rsidR="001956D9">
        <w:rPr>
          <w:rFonts w:eastAsiaTheme="minorHAnsi"/>
          <w:color w:val="000000"/>
          <w:sz w:val="24"/>
          <w:szCs w:val="24"/>
        </w:rPr>
        <w:t xml:space="preserve"> Parlamentu Europejskiego i Rady</w:t>
      </w:r>
      <w:r w:rsidR="001956D9">
        <w:rPr>
          <w:sz w:val="26"/>
        </w:rPr>
        <w:t xml:space="preserve"> </w:t>
      </w:r>
      <w:r w:rsidR="001956D9" w:rsidRPr="008437B0">
        <w:rPr>
          <w:sz w:val="24"/>
          <w:szCs w:val="24"/>
        </w:rPr>
        <w:t>zmieniający o</w:t>
      </w:r>
      <w:bookmarkStart w:id="4" w:name="_GoBack"/>
      <w:bookmarkEnd w:id="4"/>
      <w:r w:rsidR="001956D9" w:rsidRPr="008437B0">
        <w:rPr>
          <w:sz w:val="24"/>
          <w:szCs w:val="24"/>
        </w:rPr>
        <w:t>kreślone dyrektywy w odniesieniu do ustanowienia i funkcjonowania pojedynczego punktu dostępu</w:t>
      </w:r>
      <w:r w:rsidRPr="008437B0">
        <w:rPr>
          <w:rFonts w:eastAsiaTheme="minorHAnsi"/>
          <w:i/>
          <w:color w:val="000000"/>
          <w:sz w:val="24"/>
          <w:szCs w:val="24"/>
        </w:rPr>
        <w:t>)</w:t>
      </w:r>
      <w:r w:rsidRPr="00F91DC0">
        <w:rPr>
          <w:rFonts w:eastAsiaTheme="minorHAnsi"/>
          <w:i/>
          <w:color w:val="000000"/>
          <w:sz w:val="24"/>
          <w:szCs w:val="24"/>
        </w:rPr>
        <w:t>.</w:t>
      </w:r>
    </w:p>
    <w:p w14:paraId="0340658D" w14:textId="7FC71E95" w:rsidR="00B914D8" w:rsidRPr="004B67CE" w:rsidRDefault="00B914D8" w:rsidP="00F6428A">
      <w:pPr>
        <w:tabs>
          <w:tab w:val="left" w:pos="4181"/>
          <w:tab w:val="left" w:pos="9212"/>
        </w:tabs>
        <w:spacing w:after="120"/>
        <w:jc w:val="both"/>
        <w:rPr>
          <w:color w:val="000000"/>
          <w:sz w:val="24"/>
          <w:szCs w:val="24"/>
        </w:rPr>
      </w:pPr>
      <w:r w:rsidRPr="004B67CE">
        <w:rPr>
          <w:color w:val="000000"/>
          <w:sz w:val="24"/>
          <w:szCs w:val="24"/>
        </w:rPr>
        <w:t>Rozporządzenie ESAP  ma na celu stworzenie systemu zapewniającego wspólne źródło publicznych, bezpłatnych informacji o spółkach i produktach inwestycyjnych z UE, niezależnie od tego, gdzie w UE są zlokalizowane lub skąd pochodzą. ESAP jest skierowany przede wszystkim do użytkowników, takich jak inwestorzy, analitycy finansowi i pośrednicy rynkowi, np. zarządzający aktywami, doradcy lub agregatorzy danych. ESAP będzie platformą internetową zawierającą finansowe i pozafinansowe informacje o firmach, które powinny być dostępne dla wszystkich bez opłat czy licencji.</w:t>
      </w:r>
      <w:r w:rsidRPr="004B67CE">
        <w:rPr>
          <w:sz w:val="24"/>
          <w:szCs w:val="24"/>
        </w:rPr>
        <w:t xml:space="preserve"> </w:t>
      </w:r>
      <w:r w:rsidRPr="004B67CE">
        <w:rPr>
          <w:color w:val="000000"/>
          <w:sz w:val="24"/>
          <w:szCs w:val="24"/>
        </w:rPr>
        <w:t>Zgodnie z projektem</w:t>
      </w:r>
      <w:r w:rsidR="00A46BB1" w:rsidRPr="004B67CE">
        <w:rPr>
          <w:color w:val="000000"/>
          <w:sz w:val="24"/>
          <w:szCs w:val="24"/>
        </w:rPr>
        <w:t xml:space="preserve">, ESMA </w:t>
      </w:r>
      <w:r w:rsidRPr="004B67CE">
        <w:rPr>
          <w:color w:val="000000"/>
          <w:sz w:val="24"/>
          <w:szCs w:val="24"/>
        </w:rPr>
        <w:t xml:space="preserve">miałaby mieć możliwość pobierania opłat wyłącznie od użytkowników pobierających z tego systemu bardzo dużą ilości danych lub wymagających ich częstego uaktualniania. </w:t>
      </w:r>
    </w:p>
    <w:p w14:paraId="51CC489D" w14:textId="152D8132" w:rsidR="001E6052" w:rsidRPr="004B67CE" w:rsidRDefault="00640FD4" w:rsidP="00F6428A">
      <w:pPr>
        <w:jc w:val="both"/>
        <w:rPr>
          <w:sz w:val="24"/>
          <w:szCs w:val="24"/>
        </w:rPr>
      </w:pPr>
      <w:r w:rsidRPr="001E6052">
        <w:rPr>
          <w:sz w:val="24"/>
          <w:szCs w:val="24"/>
        </w:rPr>
        <w:t>Ustanowienie ESAP ma na celu zmniejszenie barier w dostępie do informacji za pomocą środków cyfrowych. ESAP zwiększy przepływ informacji w Unii, w tym przepływ transgraniczny. Ma on również na celu wspieranie cyfrowego wykorzystania informacji. Te osiągnięcia w zakresie przepływu i wykorzystania informacji przyczynią się z kolei do integracji usług finansowych i rynków kapitałowych oraz do lepszej alokacji kapitału. Jako wspólna przestrzeń danych ESAP umożliwi również rozwój nowych technologii i usług, na przykład opartych na automatyzacji lub sztucznej inteligencji.</w:t>
      </w:r>
      <w:r w:rsidR="001E6052" w:rsidRPr="001E6052">
        <w:rPr>
          <w:sz w:val="24"/>
          <w:szCs w:val="24"/>
        </w:rPr>
        <w:t xml:space="preserve"> </w:t>
      </w:r>
      <w:r w:rsidR="001E6052" w:rsidRPr="001E6052">
        <w:rPr>
          <w:noProof/>
          <w:sz w:val="24"/>
          <w:szCs w:val="24"/>
        </w:rPr>
        <w:t xml:space="preserve">Ponadto niniejszy wniosek przyczynia się do </w:t>
      </w:r>
      <w:r w:rsidR="001E6052">
        <w:rPr>
          <w:noProof/>
          <w:sz w:val="24"/>
          <w:szCs w:val="24"/>
        </w:rPr>
        <w:t xml:space="preserve">zrealizowania </w:t>
      </w:r>
      <w:r w:rsidR="001E6052" w:rsidRPr="001E6052">
        <w:rPr>
          <w:noProof/>
          <w:sz w:val="24"/>
          <w:szCs w:val="24"/>
        </w:rPr>
        <w:t>strategii dotyczącej finansowania transformacji w stronę gospodarki zrównoważonej poprzez odniesienie się do kwestii dostępności i użyteczności informacji na temat zrównoważonego charakteru działalności podmiotów europejskich</w:t>
      </w:r>
      <w:r w:rsidR="001E6052">
        <w:rPr>
          <w:noProof/>
          <w:sz w:val="24"/>
          <w:szCs w:val="24"/>
        </w:rPr>
        <w:t xml:space="preserve"> uwzględniających czynniki ESG</w:t>
      </w:r>
      <w:r w:rsidR="001E6052" w:rsidRPr="001E6052">
        <w:rPr>
          <w:noProof/>
          <w:sz w:val="24"/>
          <w:szCs w:val="24"/>
        </w:rPr>
        <w:t>.</w:t>
      </w:r>
    </w:p>
    <w:p w14:paraId="39FEC2CA" w14:textId="77A71629" w:rsidR="004B67CE" w:rsidRPr="004B67CE" w:rsidRDefault="004B67CE" w:rsidP="00F6428A">
      <w:pPr>
        <w:tabs>
          <w:tab w:val="left" w:pos="4181"/>
          <w:tab w:val="left" w:pos="9212"/>
        </w:tabs>
        <w:spacing w:after="60"/>
        <w:jc w:val="both"/>
        <w:rPr>
          <w:sz w:val="24"/>
          <w:szCs w:val="24"/>
        </w:rPr>
      </w:pPr>
      <w:r w:rsidRPr="00913C43">
        <w:rPr>
          <w:sz w:val="24"/>
          <w:szCs w:val="24"/>
        </w:rPr>
        <w:t xml:space="preserve">Przedmiotowy wniosek obejmuje zmiany w 16 dyrektywach oraz 21 rozporządzeniach, co ma na celu umożliwienie przekazywania informacji, które na mocy obecnie funkcjonujących </w:t>
      </w:r>
      <w:r w:rsidRPr="00913C43">
        <w:rPr>
          <w:sz w:val="24"/>
          <w:szCs w:val="24"/>
        </w:rPr>
        <w:lastRenderedPageBreak/>
        <w:t xml:space="preserve">przepisów są już raportowane i objęte zakresem stosowania unijnych przepisów dotyczących usług finansowych. </w:t>
      </w:r>
      <w:r w:rsidR="001E6052" w:rsidRPr="00913C43">
        <w:rPr>
          <w:noProof/>
          <w:sz w:val="24"/>
          <w:szCs w:val="24"/>
        </w:rPr>
        <w:t xml:space="preserve">Niniejszy wniosek dotyczy w znacznej mierze wyznaczenia organów gromadzących dane, które następnie będą przekazywane do nowotworzonego systemu </w:t>
      </w:r>
      <w:r w:rsidR="001E6052" w:rsidRPr="00913C43">
        <w:rPr>
          <w:noProof/>
          <w:color w:val="000000"/>
          <w:sz w:val="24"/>
          <w:szCs w:val="24"/>
          <w:shd w:val="clear" w:color="auto" w:fill="FFFAFF"/>
        </w:rPr>
        <w:t xml:space="preserve"> ESAP </w:t>
      </w:r>
      <w:r w:rsidR="00813348" w:rsidRPr="00913C43">
        <w:rPr>
          <w:noProof/>
          <w:color w:val="000000"/>
          <w:sz w:val="24"/>
          <w:szCs w:val="24"/>
          <w:shd w:val="clear" w:color="auto" w:fill="FFFAFF"/>
        </w:rPr>
        <w:t xml:space="preserve">oraz oznaczenia przekazywanych danych w celu </w:t>
      </w:r>
      <w:r w:rsidR="001E6052" w:rsidRPr="00913C43">
        <w:rPr>
          <w:noProof/>
          <w:color w:val="000000"/>
          <w:sz w:val="24"/>
          <w:szCs w:val="24"/>
          <w:shd w:val="clear" w:color="auto" w:fill="FFFAFF"/>
        </w:rPr>
        <w:t xml:space="preserve">ich </w:t>
      </w:r>
      <w:r w:rsidR="00813348" w:rsidRPr="00913C43">
        <w:rPr>
          <w:noProof/>
          <w:color w:val="000000"/>
          <w:sz w:val="24"/>
          <w:szCs w:val="24"/>
          <w:shd w:val="clear" w:color="auto" w:fill="FFFAFF"/>
        </w:rPr>
        <w:t>bezpiecznego, certyfikowanego przesyłania i weryfikacji</w:t>
      </w:r>
      <w:r w:rsidR="001E6052" w:rsidRPr="00913C43">
        <w:rPr>
          <w:noProof/>
          <w:color w:val="000000"/>
          <w:sz w:val="24"/>
          <w:szCs w:val="24"/>
          <w:shd w:val="clear" w:color="auto" w:fill="FFFAFF"/>
        </w:rPr>
        <w:t xml:space="preserve">. </w:t>
      </w:r>
      <w:r w:rsidRPr="00913C43">
        <w:rPr>
          <w:sz w:val="24"/>
          <w:szCs w:val="24"/>
        </w:rPr>
        <w:t>Realizacje tego przed</w:t>
      </w:r>
      <w:r w:rsidR="003663CF" w:rsidRPr="00913C43">
        <w:rPr>
          <w:sz w:val="24"/>
          <w:szCs w:val="24"/>
        </w:rPr>
        <w:t>sięwzięcia zaplan</w:t>
      </w:r>
      <w:r w:rsidR="003663CF">
        <w:rPr>
          <w:sz w:val="24"/>
          <w:szCs w:val="24"/>
        </w:rPr>
        <w:t>owano etapowo na lata</w:t>
      </w:r>
      <w:r w:rsidRPr="004B67CE">
        <w:rPr>
          <w:sz w:val="24"/>
          <w:szCs w:val="24"/>
        </w:rPr>
        <w:t xml:space="preserve"> 2024-2026.</w:t>
      </w:r>
    </w:p>
    <w:p w14:paraId="34D935FF" w14:textId="77777777" w:rsidR="004961B5" w:rsidRPr="00C30CC6" w:rsidRDefault="004961B5" w:rsidP="00F6428A">
      <w:pPr>
        <w:spacing w:after="0"/>
        <w:jc w:val="both"/>
      </w:pPr>
    </w:p>
    <w:p w14:paraId="0BF955C0" w14:textId="77777777" w:rsidR="004961B5" w:rsidRPr="00C30CC6" w:rsidRDefault="004961B5" w:rsidP="00F6428A">
      <w:pPr>
        <w:pStyle w:val="Nagwek5"/>
        <w:spacing w:line="276" w:lineRule="auto"/>
        <w:jc w:val="both"/>
        <w:rPr>
          <w:rFonts w:ascii="Calibri" w:hAnsi="Calibri"/>
        </w:rPr>
      </w:pPr>
      <w:r w:rsidRPr="00C30CC6">
        <w:rPr>
          <w:rFonts w:ascii="Calibri" w:hAnsi="Calibri"/>
        </w:rPr>
        <w:t xml:space="preserve">Stanowisko RP </w:t>
      </w:r>
    </w:p>
    <w:p w14:paraId="775B5F9E" w14:textId="77777777" w:rsidR="004961B5" w:rsidRPr="00C30CC6" w:rsidRDefault="004961B5" w:rsidP="00F6428A">
      <w:pPr>
        <w:spacing w:after="0"/>
        <w:jc w:val="both"/>
      </w:pPr>
    </w:p>
    <w:p w14:paraId="2C21DACB" w14:textId="20627B4D" w:rsidR="00F3058C" w:rsidRDefault="00395C36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C62BE">
        <w:rPr>
          <w:rFonts w:asciiTheme="minorHAnsi" w:hAnsiTheme="minorHAnsi"/>
          <w:sz w:val="24"/>
          <w:szCs w:val="24"/>
        </w:rPr>
        <w:t>Rząd Rzeczypospolitej Polskiej</w:t>
      </w:r>
      <w:r>
        <w:rPr>
          <w:rFonts w:asciiTheme="minorHAnsi" w:hAnsiTheme="minorHAnsi"/>
          <w:sz w:val="24"/>
          <w:szCs w:val="24"/>
        </w:rPr>
        <w:t xml:space="preserve"> kierunkowo popiera</w:t>
      </w:r>
      <w:r w:rsidR="00D30767">
        <w:rPr>
          <w:rFonts w:asciiTheme="minorHAnsi" w:hAnsiTheme="minorHAnsi"/>
          <w:sz w:val="24"/>
          <w:szCs w:val="24"/>
        </w:rPr>
        <w:t xml:space="preserve"> utworzenie ESAP, a także jego etapowe</w:t>
      </w:r>
      <w:r w:rsidR="005516FC">
        <w:rPr>
          <w:rFonts w:asciiTheme="minorHAnsi" w:hAnsiTheme="minorHAnsi"/>
          <w:sz w:val="24"/>
          <w:szCs w:val="24"/>
        </w:rPr>
        <w:t xml:space="preserve"> wdrażanie</w:t>
      </w:r>
      <w:r w:rsidR="00D30767">
        <w:rPr>
          <w:rFonts w:asciiTheme="minorHAnsi" w:hAnsiTheme="minorHAnsi"/>
          <w:sz w:val="24"/>
          <w:szCs w:val="24"/>
        </w:rPr>
        <w:t>.</w:t>
      </w:r>
    </w:p>
    <w:p w14:paraId="7D20EED8" w14:textId="77777777" w:rsidR="00913C43" w:rsidRDefault="00913C43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F2269B3" w14:textId="0AF0ECBD" w:rsidR="00395C36" w:rsidRDefault="00395C36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A77C10">
        <w:rPr>
          <w:rFonts w:asciiTheme="minorHAnsi" w:hAnsiTheme="minorHAnsi"/>
          <w:sz w:val="24"/>
          <w:szCs w:val="24"/>
        </w:rPr>
        <w:t xml:space="preserve"> opinii </w:t>
      </w:r>
      <w:r>
        <w:rPr>
          <w:rFonts w:asciiTheme="minorHAnsi" w:hAnsiTheme="minorHAnsi"/>
          <w:sz w:val="24"/>
          <w:szCs w:val="24"/>
        </w:rPr>
        <w:t>Rządu Rzeczypospolitej Polskiej</w:t>
      </w:r>
      <w:r w:rsidRPr="00A77C10">
        <w:rPr>
          <w:rFonts w:asciiTheme="minorHAnsi" w:hAnsiTheme="minorHAnsi"/>
          <w:sz w:val="24"/>
          <w:szCs w:val="24"/>
        </w:rPr>
        <w:t xml:space="preserve"> nie wydaje się, aby u</w:t>
      </w:r>
      <w:r>
        <w:rPr>
          <w:rFonts w:asciiTheme="minorHAnsi" w:hAnsiTheme="minorHAnsi"/>
          <w:sz w:val="24"/>
          <w:szCs w:val="24"/>
        </w:rPr>
        <w:t>zasadnion</w:t>
      </w:r>
      <w:r w:rsidR="00E95AEC">
        <w:rPr>
          <w:rFonts w:asciiTheme="minorHAnsi" w:hAnsiTheme="minorHAnsi"/>
          <w:sz w:val="24"/>
          <w:szCs w:val="24"/>
        </w:rPr>
        <w:t>a i możliwa do osiągnięcia w tak krótkim horyzoncie czasowym była</w:t>
      </w:r>
      <w:r>
        <w:rPr>
          <w:rFonts w:asciiTheme="minorHAnsi" w:hAnsiTheme="minorHAnsi"/>
          <w:sz w:val="24"/>
          <w:szCs w:val="24"/>
        </w:rPr>
        <w:t xml:space="preserve"> tak daleko idąca</w:t>
      </w:r>
      <w:r w:rsidRPr="00A77C1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zmiana w zakresie centralizacji danych zaproponowana przez Komisję bez uszczerbku dla jakości danych oraz prawidłowej budowy odpowiednich narzędzi informatycznych i struktur do ich przesyłania.</w:t>
      </w:r>
      <w:r w:rsidR="00E95AEC">
        <w:rPr>
          <w:rFonts w:asciiTheme="minorHAnsi" w:hAnsiTheme="minorHAnsi"/>
          <w:sz w:val="24"/>
          <w:szCs w:val="24"/>
        </w:rPr>
        <w:t xml:space="preserve"> W związku z tym w opinii Rządu </w:t>
      </w:r>
      <w:r w:rsidR="00E95AEC" w:rsidRPr="004C62BE">
        <w:rPr>
          <w:rFonts w:asciiTheme="minorHAnsi" w:hAnsiTheme="minorHAnsi"/>
          <w:sz w:val="24"/>
          <w:szCs w:val="24"/>
        </w:rPr>
        <w:t>Rzeczypospolitej Polskiej</w:t>
      </w:r>
      <w:r w:rsidR="00E95AEC">
        <w:rPr>
          <w:rFonts w:asciiTheme="minorHAnsi" w:hAnsiTheme="minorHAnsi"/>
          <w:sz w:val="24"/>
          <w:szCs w:val="24"/>
        </w:rPr>
        <w:t xml:space="preserve"> </w:t>
      </w:r>
      <w:r w:rsidR="00D30767">
        <w:rPr>
          <w:rFonts w:asciiTheme="minorHAnsi" w:hAnsiTheme="minorHAnsi"/>
          <w:sz w:val="24"/>
          <w:szCs w:val="24"/>
        </w:rPr>
        <w:t>warte rozważenia byłoby wydłużenie czasu umożliwiającego stworzenie ESAP i wydłużenie okresów na etapowe przesyłanie odpowiednich danych do w pełni kompatybilnego systemu.</w:t>
      </w:r>
    </w:p>
    <w:p w14:paraId="3F48B0CF" w14:textId="77777777" w:rsidR="00395C36" w:rsidRDefault="00395C36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ED6C43E" w14:textId="783F7BA0" w:rsidR="00395C36" w:rsidRPr="005A6009" w:rsidRDefault="00132FD6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A6009">
        <w:rPr>
          <w:rFonts w:asciiTheme="minorHAnsi" w:hAnsiTheme="minorHAnsi"/>
          <w:sz w:val="24"/>
          <w:szCs w:val="24"/>
        </w:rPr>
        <w:t>Rząd Rzeczypospolitej Polskiej wyraża także zastrzeżenia odnośnie sposobu finansowania ESAP.</w:t>
      </w:r>
      <w:r w:rsidR="005A6009" w:rsidRPr="005A6009">
        <w:rPr>
          <w:rFonts w:asciiTheme="minorHAnsi" w:hAnsiTheme="minorHAnsi"/>
          <w:sz w:val="24"/>
          <w:szCs w:val="24"/>
        </w:rPr>
        <w:t xml:space="preserve"> </w:t>
      </w:r>
      <w:r w:rsidR="005A6009" w:rsidRPr="005A6009">
        <w:rPr>
          <w:sz w:val="24"/>
          <w:szCs w:val="24"/>
        </w:rPr>
        <w:t xml:space="preserve">W propozycjach legislacyjnych </w:t>
      </w:r>
      <w:r w:rsidR="001A63A1">
        <w:rPr>
          <w:sz w:val="24"/>
          <w:szCs w:val="24"/>
        </w:rPr>
        <w:t>nie określono sposobów, w jaki sposób</w:t>
      </w:r>
      <w:r w:rsidR="005A6009" w:rsidRPr="005A6009">
        <w:rPr>
          <w:sz w:val="24"/>
          <w:szCs w:val="24"/>
        </w:rPr>
        <w:t xml:space="preserve"> krajowe organy miałyby dostosować swoje źródła finansowania odpowiedzialne za wpłaty w wysokości 60% kosztów administracyjnych i operacyjnych działania ESAP prowadzone na szczeblu ESMA. </w:t>
      </w:r>
      <w:r w:rsidRPr="005A6009">
        <w:rPr>
          <w:rFonts w:asciiTheme="minorHAnsi" w:hAnsiTheme="minorHAnsi"/>
          <w:sz w:val="24"/>
          <w:szCs w:val="24"/>
        </w:rPr>
        <w:t>K</w:t>
      </w:r>
      <w:r w:rsidR="00395C36" w:rsidRPr="005A6009">
        <w:rPr>
          <w:rFonts w:asciiTheme="minorHAnsi" w:hAnsiTheme="minorHAnsi"/>
          <w:sz w:val="24"/>
          <w:szCs w:val="24"/>
        </w:rPr>
        <w:t xml:space="preserve">westie </w:t>
      </w:r>
      <w:r w:rsidR="001A63A1">
        <w:rPr>
          <w:rFonts w:asciiTheme="minorHAnsi" w:hAnsiTheme="minorHAnsi"/>
          <w:sz w:val="24"/>
          <w:szCs w:val="24"/>
        </w:rPr>
        <w:t xml:space="preserve">te </w:t>
      </w:r>
      <w:r w:rsidR="00395C36" w:rsidRPr="005A6009">
        <w:rPr>
          <w:rFonts w:asciiTheme="minorHAnsi" w:hAnsiTheme="minorHAnsi"/>
          <w:sz w:val="24"/>
          <w:szCs w:val="24"/>
        </w:rPr>
        <w:t>wymagają doprecyzowania na dalszym etapie prac legislacyjnych.</w:t>
      </w:r>
    </w:p>
    <w:p w14:paraId="1CECB02D" w14:textId="77777777" w:rsidR="007D276F" w:rsidRPr="00C30CC6" w:rsidRDefault="007D276F" w:rsidP="00F6428A">
      <w:pPr>
        <w:spacing w:after="0"/>
        <w:jc w:val="both"/>
        <w:rPr>
          <w:sz w:val="24"/>
          <w:szCs w:val="24"/>
        </w:rPr>
      </w:pPr>
    </w:p>
    <w:p w14:paraId="17E658CA" w14:textId="19B82D05" w:rsidR="00F6428A" w:rsidRDefault="00FF00A2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B67A5">
        <w:rPr>
          <w:rFonts w:asciiTheme="minorHAnsi" w:hAnsiTheme="minorHAnsi"/>
          <w:sz w:val="24"/>
          <w:szCs w:val="24"/>
        </w:rPr>
        <w:t xml:space="preserve">Rząd Rzeczypospolitej Polskiej wyraża także </w:t>
      </w:r>
      <w:r w:rsidR="00CB67A5" w:rsidRPr="00CB67A5">
        <w:rPr>
          <w:rFonts w:asciiTheme="minorHAnsi" w:hAnsiTheme="minorHAnsi"/>
          <w:sz w:val="24"/>
          <w:szCs w:val="24"/>
        </w:rPr>
        <w:t xml:space="preserve">wątpliwości </w:t>
      </w:r>
      <w:r w:rsidRPr="00CB67A5">
        <w:rPr>
          <w:rFonts w:asciiTheme="minorHAnsi" w:hAnsiTheme="minorHAnsi"/>
          <w:sz w:val="24"/>
          <w:szCs w:val="24"/>
        </w:rPr>
        <w:t>odnośnie</w:t>
      </w:r>
      <w:r w:rsidR="00EB62D5" w:rsidRPr="00CB67A5">
        <w:rPr>
          <w:rFonts w:asciiTheme="minorHAnsi" w:hAnsiTheme="minorHAnsi"/>
          <w:sz w:val="24"/>
          <w:szCs w:val="24"/>
        </w:rPr>
        <w:t xml:space="preserve"> formatu danych w jakim mają być </w:t>
      </w:r>
      <w:r w:rsidR="00CB67A5" w:rsidRPr="00CB67A5">
        <w:rPr>
          <w:rFonts w:asciiTheme="minorHAnsi" w:hAnsiTheme="minorHAnsi"/>
          <w:sz w:val="24"/>
          <w:szCs w:val="24"/>
        </w:rPr>
        <w:t>one przekazywane wobec braku określenia ich na poziomie rozporządzenia</w:t>
      </w:r>
      <w:r w:rsidR="00CB67A5">
        <w:rPr>
          <w:rFonts w:asciiTheme="minorHAnsi" w:hAnsiTheme="minorHAnsi"/>
          <w:sz w:val="24"/>
          <w:szCs w:val="24"/>
        </w:rPr>
        <w:t xml:space="preserve"> ustanawiającego ESAP</w:t>
      </w:r>
      <w:r w:rsidR="00CB67A5" w:rsidRPr="00CB67A5">
        <w:rPr>
          <w:rFonts w:asciiTheme="minorHAnsi" w:hAnsiTheme="minorHAnsi"/>
          <w:sz w:val="24"/>
          <w:szCs w:val="24"/>
        </w:rPr>
        <w:t xml:space="preserve">. </w:t>
      </w:r>
      <w:r w:rsidRPr="00CB67A5">
        <w:rPr>
          <w:rFonts w:asciiTheme="minorHAnsi" w:hAnsiTheme="minorHAnsi"/>
          <w:sz w:val="24"/>
          <w:szCs w:val="24"/>
        </w:rPr>
        <w:t xml:space="preserve">Zdaniem Rządu Rzeczypospolitej Polskiej </w:t>
      </w:r>
      <w:r w:rsidR="00CB67A5" w:rsidRPr="00CB67A5">
        <w:rPr>
          <w:rFonts w:asciiTheme="minorHAnsi" w:hAnsiTheme="minorHAnsi"/>
          <w:sz w:val="24"/>
          <w:szCs w:val="24"/>
        </w:rPr>
        <w:t xml:space="preserve">warto w tym aspekcie uwzględnić </w:t>
      </w:r>
      <w:r w:rsidR="00F6428A">
        <w:rPr>
          <w:rFonts w:asciiTheme="minorHAnsi" w:hAnsiTheme="minorHAnsi"/>
          <w:sz w:val="24"/>
          <w:szCs w:val="24"/>
        </w:rPr>
        <w:t xml:space="preserve">aktualne </w:t>
      </w:r>
      <w:r w:rsidR="00CB67A5" w:rsidRPr="00CB67A5">
        <w:rPr>
          <w:rFonts w:asciiTheme="minorHAnsi" w:hAnsiTheme="minorHAnsi"/>
          <w:sz w:val="24"/>
          <w:szCs w:val="24"/>
        </w:rPr>
        <w:t xml:space="preserve">formaty przekazywania danych tak, aby ograniczyć koszty administracyjne i organizacyjne po stronie przedsiębiorstw oraz umożliwić sprawne funkcjonowanie systemów wymiany informacji na bazie obecnie stosowanych rozwiązań. </w:t>
      </w:r>
    </w:p>
    <w:p w14:paraId="555E9A3D" w14:textId="77777777" w:rsidR="00F6428A" w:rsidRDefault="00F6428A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B50AAF4" w14:textId="10968805" w:rsidR="00EA129B" w:rsidRDefault="00813348" w:rsidP="00F6428A">
      <w:pPr>
        <w:spacing w:after="0"/>
        <w:jc w:val="both"/>
        <w:rPr>
          <w:sz w:val="24"/>
          <w:szCs w:val="24"/>
        </w:rPr>
      </w:pPr>
      <w:r w:rsidRPr="00F6428A">
        <w:rPr>
          <w:rFonts w:asciiTheme="minorHAnsi" w:hAnsiTheme="minorHAnsi"/>
          <w:sz w:val="24"/>
          <w:szCs w:val="24"/>
        </w:rPr>
        <w:t>Ponadto,</w:t>
      </w:r>
      <w:r w:rsidRPr="00F6428A">
        <w:rPr>
          <w:sz w:val="24"/>
          <w:szCs w:val="24"/>
        </w:rPr>
        <w:t xml:space="preserve"> w odniesieniu do walidacji przewidzianych w projekcie rozporządzenia ustanawiającego ESAP warto rozważyć stosowanie tego samego </w:t>
      </w:r>
      <w:proofErr w:type="spellStart"/>
      <w:r w:rsidRPr="00F6428A">
        <w:rPr>
          <w:sz w:val="24"/>
          <w:szCs w:val="24"/>
        </w:rPr>
        <w:t>walidatora</w:t>
      </w:r>
      <w:proofErr w:type="spellEnd"/>
      <w:r w:rsidRPr="00F6428A">
        <w:rPr>
          <w:sz w:val="24"/>
          <w:szCs w:val="24"/>
        </w:rPr>
        <w:t xml:space="preserve"> zarówno przez organ gromadzący dane, który dokonuje pierwszej walidacji, jak też przez ESAP dokonujący drugiej walidacji, tak aby uniknąć sytuacji w której informacje przyjęte przez organ zbierający informacje jako poprawne nie zostały bezpodstawnie odrzucone przez ESAP.</w:t>
      </w:r>
    </w:p>
    <w:p w14:paraId="79ECEA94" w14:textId="77777777" w:rsidR="00F6428A" w:rsidRPr="00CB67A5" w:rsidRDefault="00F6428A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B7400EB" w14:textId="5A732FBD" w:rsidR="000C41EE" w:rsidRDefault="000C41EE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Podsumowując, ustanowienie ESAP </w:t>
      </w:r>
      <w:r w:rsidRPr="003C337F">
        <w:rPr>
          <w:rFonts w:asciiTheme="minorHAnsi" w:hAnsiTheme="minorHAnsi"/>
          <w:sz w:val="24"/>
          <w:szCs w:val="24"/>
        </w:rPr>
        <w:t xml:space="preserve">powinien </w:t>
      </w:r>
      <w:r>
        <w:rPr>
          <w:rFonts w:asciiTheme="minorHAnsi" w:hAnsiTheme="minorHAnsi"/>
          <w:sz w:val="24"/>
          <w:szCs w:val="24"/>
        </w:rPr>
        <w:t xml:space="preserve">być </w:t>
      </w:r>
      <w:r w:rsidRPr="003C337F">
        <w:rPr>
          <w:rFonts w:asciiTheme="minorHAnsi" w:hAnsiTheme="minorHAnsi"/>
          <w:sz w:val="24"/>
          <w:szCs w:val="24"/>
        </w:rPr>
        <w:t>ogranicz</w:t>
      </w:r>
      <w:r>
        <w:rPr>
          <w:rFonts w:asciiTheme="minorHAnsi" w:hAnsiTheme="minorHAnsi"/>
          <w:sz w:val="24"/>
          <w:szCs w:val="24"/>
        </w:rPr>
        <w:t>one</w:t>
      </w:r>
      <w:r w:rsidRPr="003C337F">
        <w:rPr>
          <w:rFonts w:asciiTheme="minorHAnsi" w:hAnsiTheme="minorHAnsi"/>
          <w:sz w:val="24"/>
          <w:szCs w:val="24"/>
        </w:rPr>
        <w:t xml:space="preserve"> do tego co jest rzeczywiści</w:t>
      </w:r>
      <w:r>
        <w:rPr>
          <w:rFonts w:asciiTheme="minorHAnsi" w:hAnsiTheme="minorHAnsi"/>
          <w:sz w:val="24"/>
          <w:szCs w:val="24"/>
        </w:rPr>
        <w:t>e konieczne dla usprawnienia wymiany danych</w:t>
      </w:r>
      <w:r w:rsidRPr="003C337F">
        <w:rPr>
          <w:rFonts w:asciiTheme="minorHAnsi" w:hAnsiTheme="minorHAnsi"/>
          <w:sz w:val="24"/>
          <w:szCs w:val="24"/>
        </w:rPr>
        <w:t>, a tym samy</w:t>
      </w:r>
      <w:r>
        <w:rPr>
          <w:rFonts w:asciiTheme="minorHAnsi" w:hAnsiTheme="minorHAnsi"/>
          <w:sz w:val="24"/>
          <w:szCs w:val="24"/>
        </w:rPr>
        <w:t>m</w:t>
      </w:r>
      <w:r w:rsidRPr="003C33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do </w:t>
      </w:r>
      <w:r w:rsidRPr="003C337F">
        <w:rPr>
          <w:rFonts w:asciiTheme="minorHAnsi" w:hAnsiTheme="minorHAnsi"/>
          <w:sz w:val="24"/>
          <w:szCs w:val="24"/>
        </w:rPr>
        <w:t>usprawnienia funkcjonowania</w:t>
      </w:r>
      <w:r>
        <w:rPr>
          <w:rFonts w:asciiTheme="minorHAnsi" w:hAnsiTheme="minorHAnsi"/>
          <w:sz w:val="24"/>
          <w:szCs w:val="24"/>
        </w:rPr>
        <w:t xml:space="preserve"> Unii Rynków Kapitałowych.</w:t>
      </w:r>
    </w:p>
    <w:p w14:paraId="76D66F2D" w14:textId="77777777" w:rsidR="000C41EE" w:rsidRDefault="000C41EE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E7DE0DE" w14:textId="77777777" w:rsidR="00A42806" w:rsidRPr="00C30CC6" w:rsidRDefault="00A42806" w:rsidP="00F6428A">
      <w:pPr>
        <w:spacing w:after="0"/>
        <w:jc w:val="both"/>
      </w:pPr>
    </w:p>
    <w:p w14:paraId="0CBD9D14" w14:textId="77777777" w:rsidR="004961B5" w:rsidRPr="00C30CC6" w:rsidRDefault="004961B5" w:rsidP="00F6428A">
      <w:pPr>
        <w:pStyle w:val="Nagwek5"/>
        <w:spacing w:line="276" w:lineRule="auto"/>
        <w:jc w:val="both"/>
        <w:rPr>
          <w:rFonts w:ascii="Calibri" w:hAnsi="Calibri"/>
        </w:rPr>
      </w:pPr>
      <w:r w:rsidRPr="00C30CC6">
        <w:rPr>
          <w:rFonts w:ascii="Calibri" w:hAnsi="Calibri"/>
        </w:rPr>
        <w:t>Uzasadnienie stanowiska RP</w:t>
      </w:r>
    </w:p>
    <w:p w14:paraId="613FB48C" w14:textId="77777777" w:rsidR="004961B5" w:rsidRPr="00C30CC6" w:rsidRDefault="004961B5" w:rsidP="00F6428A">
      <w:pPr>
        <w:spacing w:after="0"/>
        <w:jc w:val="both"/>
      </w:pPr>
    </w:p>
    <w:p w14:paraId="144D974B" w14:textId="1FFFB019" w:rsidR="00F91DC0" w:rsidRDefault="00F91DC0" w:rsidP="00F6428A">
      <w:pPr>
        <w:jc w:val="both"/>
        <w:rPr>
          <w:sz w:val="24"/>
          <w:szCs w:val="24"/>
        </w:rPr>
      </w:pPr>
      <w:r w:rsidRPr="00F91DC0">
        <w:rPr>
          <w:sz w:val="24"/>
          <w:szCs w:val="24"/>
        </w:rPr>
        <w:t>Rząd Rzeczypospolitej Polskiej podziela</w:t>
      </w:r>
      <w:r w:rsidR="00843AF6">
        <w:rPr>
          <w:sz w:val="24"/>
          <w:szCs w:val="24"/>
        </w:rPr>
        <w:t xml:space="preserve"> kierunkowo</w:t>
      </w:r>
      <w:r w:rsidRPr="00F91DC0">
        <w:rPr>
          <w:sz w:val="24"/>
          <w:szCs w:val="24"/>
        </w:rPr>
        <w:t xml:space="preserve"> stanowisko zaprezentowane we wniosku dotyczące </w:t>
      </w:r>
      <w:r w:rsidR="00843AF6">
        <w:rPr>
          <w:sz w:val="24"/>
          <w:szCs w:val="24"/>
        </w:rPr>
        <w:t>utworzenia</w:t>
      </w:r>
      <w:r w:rsidR="009E5950">
        <w:rPr>
          <w:sz w:val="24"/>
          <w:szCs w:val="24"/>
        </w:rPr>
        <w:t xml:space="preserve"> Europejskiego Pojedynczego</w:t>
      </w:r>
      <w:r w:rsidRPr="00F91DC0">
        <w:rPr>
          <w:sz w:val="24"/>
          <w:szCs w:val="24"/>
        </w:rPr>
        <w:t xml:space="preserve"> Punktu Dostępu (ESAP), którego celem jest poprawa publicznego dostępu do informacji o podmiotach finansowych i niefinansowych. </w:t>
      </w:r>
      <w:r w:rsidR="00843AF6">
        <w:rPr>
          <w:sz w:val="24"/>
          <w:szCs w:val="24"/>
        </w:rPr>
        <w:t>Ł</w:t>
      </w:r>
      <w:r w:rsidRPr="00F91DC0">
        <w:rPr>
          <w:sz w:val="24"/>
          <w:szCs w:val="24"/>
        </w:rPr>
        <w:t>atwy i scentralizowany dostęp do danych o podmiotach i ich instrumentach finansowych lub usługach finansowych jest ważny dla inwestorów i przedsiębiorców w celu podejmowania właściwych decyzji, które służą efektywnemu funkcjonowaniu rynku.</w:t>
      </w:r>
      <w:r w:rsidR="00843AF6" w:rsidRPr="00843AF6">
        <w:rPr>
          <w:sz w:val="24"/>
          <w:szCs w:val="24"/>
        </w:rPr>
        <w:t xml:space="preserve"> </w:t>
      </w:r>
      <w:r w:rsidR="00843AF6">
        <w:rPr>
          <w:sz w:val="24"/>
          <w:szCs w:val="24"/>
        </w:rPr>
        <w:t>Idea stworzenia ESAP ma</w:t>
      </w:r>
      <w:r w:rsidR="00843AF6" w:rsidRPr="00CF765C">
        <w:rPr>
          <w:sz w:val="24"/>
          <w:szCs w:val="24"/>
        </w:rPr>
        <w:t xml:space="preserve"> na celu umożliwienie porównywalności informacji przekazywanych przez poszczególne podmioty.</w:t>
      </w:r>
    </w:p>
    <w:p w14:paraId="479FA923" w14:textId="19DD08BD" w:rsidR="00843AF6" w:rsidRDefault="00843AF6" w:rsidP="00F6428A">
      <w:pPr>
        <w:jc w:val="both"/>
        <w:rPr>
          <w:sz w:val="24"/>
          <w:szCs w:val="24"/>
        </w:rPr>
      </w:pPr>
      <w:r w:rsidRPr="00843AF6">
        <w:rPr>
          <w:rFonts w:asciiTheme="minorHAnsi" w:hAnsiTheme="minorHAnsi"/>
          <w:sz w:val="24"/>
          <w:szCs w:val="24"/>
        </w:rPr>
        <w:t>Rząd Rzeczypospolitej Polskiej wyraża wątpliwości odnośnie</w:t>
      </w:r>
      <w:r w:rsidRPr="00843AF6">
        <w:rPr>
          <w:sz w:val="24"/>
          <w:szCs w:val="24"/>
        </w:rPr>
        <w:t xml:space="preserve"> zakresu dobrowolnego udostępniania informacji za pośrednictwem ESAP. </w:t>
      </w:r>
      <w:r>
        <w:rPr>
          <w:sz w:val="24"/>
          <w:szCs w:val="24"/>
        </w:rPr>
        <w:t>Z</w:t>
      </w:r>
      <w:r w:rsidRPr="00843AF6">
        <w:rPr>
          <w:sz w:val="24"/>
          <w:szCs w:val="24"/>
        </w:rPr>
        <w:t xml:space="preserve">akres przedmiotowy dobrowolnie przekazywanych informacji powinien być znacznie bardziej szczegółowy. Przy tak ogólnym zapisie dotyczącym dobrowolnego przekazywania informacji do ESAP, niektóre podmioty mogą niewłaściwie wykorzystać lub nadużywać tej możliwości, co z kolei może zmniejszyć użyteczność i efektywność ESAP dla potencjalnych inwestorów i innych użytkowników. </w:t>
      </w:r>
      <w:r w:rsidR="0018251B">
        <w:rPr>
          <w:sz w:val="24"/>
          <w:szCs w:val="24"/>
        </w:rPr>
        <w:t xml:space="preserve">Ponadto, </w:t>
      </w:r>
      <w:r w:rsidR="0018251B" w:rsidRPr="00CF765C">
        <w:rPr>
          <w:sz w:val="24"/>
          <w:szCs w:val="24"/>
        </w:rPr>
        <w:t>wiarygodność raportów publikowanych przez podmioty, które nie są notowane na rynku zorganizowanym może być ograniczona, co może powodować niewielkie wykorzystanie informacji publikowanych w ESAP lub wprowadzać w błąd inwestorów</w:t>
      </w:r>
      <w:r w:rsidR="0018251B">
        <w:rPr>
          <w:sz w:val="24"/>
          <w:szCs w:val="24"/>
        </w:rPr>
        <w:t>.</w:t>
      </w:r>
    </w:p>
    <w:p w14:paraId="5855B4D6" w14:textId="54D956D1" w:rsidR="00813348" w:rsidRDefault="0018251B" w:rsidP="00F6428A">
      <w:pPr>
        <w:jc w:val="both"/>
        <w:rPr>
          <w:sz w:val="24"/>
          <w:szCs w:val="24"/>
        </w:rPr>
      </w:pPr>
      <w:r w:rsidRPr="0018251B">
        <w:rPr>
          <w:sz w:val="24"/>
          <w:szCs w:val="24"/>
        </w:rPr>
        <w:t>Rząd Rzeczypospolitej Polskiej z ostrożnością odnosi się do propozycji</w:t>
      </w:r>
      <w:r>
        <w:rPr>
          <w:sz w:val="24"/>
          <w:szCs w:val="24"/>
        </w:rPr>
        <w:t xml:space="preserve"> wejścia w życie zaprezentowanych propozycji legislacyjnych z dniem 1 stycznia 2023 r. </w:t>
      </w:r>
      <w:r w:rsidRPr="004B67CE">
        <w:rPr>
          <w:sz w:val="24"/>
          <w:szCs w:val="24"/>
        </w:rPr>
        <w:t xml:space="preserve">Komisja Europejska zaprezentowała wniosek legislacyjny dotyczący ESAP składający się z </w:t>
      </w:r>
      <w:r>
        <w:rPr>
          <w:sz w:val="24"/>
          <w:szCs w:val="24"/>
        </w:rPr>
        <w:t xml:space="preserve">obszernych </w:t>
      </w:r>
      <w:r w:rsidRPr="004B67CE">
        <w:rPr>
          <w:sz w:val="24"/>
          <w:szCs w:val="24"/>
        </w:rPr>
        <w:t>3 dokumentów</w:t>
      </w:r>
      <w:r>
        <w:rPr>
          <w:sz w:val="24"/>
          <w:szCs w:val="24"/>
        </w:rPr>
        <w:t xml:space="preserve"> 25 listopada 2021 r. Wobec powyższego, uwzględniając czas potrzebny na negocjacje w Radzie Unii Europejskiej, </w:t>
      </w:r>
      <w:proofErr w:type="spellStart"/>
      <w:r>
        <w:rPr>
          <w:sz w:val="24"/>
          <w:szCs w:val="24"/>
        </w:rPr>
        <w:t>trilogi</w:t>
      </w:r>
      <w:proofErr w:type="spellEnd"/>
      <w:r>
        <w:rPr>
          <w:sz w:val="24"/>
          <w:szCs w:val="24"/>
        </w:rPr>
        <w:t xml:space="preserve"> z Parlamentem Europejskim oraz ujednolicenie lingwistyczne ostatecznej wersji projektu realizacja zadań w </w:t>
      </w:r>
      <w:r w:rsidR="004872E1">
        <w:rPr>
          <w:sz w:val="24"/>
          <w:szCs w:val="24"/>
        </w:rPr>
        <w:t xml:space="preserve">zaplanowanym </w:t>
      </w:r>
      <w:r w:rsidR="00913C43">
        <w:rPr>
          <w:sz w:val="24"/>
          <w:szCs w:val="24"/>
        </w:rPr>
        <w:t>czasie wydaje się bardzo</w:t>
      </w:r>
      <w:r>
        <w:rPr>
          <w:sz w:val="24"/>
          <w:szCs w:val="24"/>
        </w:rPr>
        <w:t xml:space="preserve"> ambitna i potencjalnie może odbić się na jakości procedowanego wniosku legislacyjnego. W opinii </w:t>
      </w:r>
      <w:r w:rsidRPr="0018251B">
        <w:rPr>
          <w:sz w:val="24"/>
          <w:szCs w:val="24"/>
        </w:rPr>
        <w:t>Rządu Rzeczypospolitej Polskiej</w:t>
      </w:r>
      <w:r>
        <w:rPr>
          <w:sz w:val="24"/>
          <w:szCs w:val="24"/>
        </w:rPr>
        <w:t xml:space="preserve"> zasadnym </w:t>
      </w:r>
      <w:r w:rsidR="004872E1">
        <w:rPr>
          <w:sz w:val="24"/>
          <w:szCs w:val="24"/>
        </w:rPr>
        <w:t xml:space="preserve">jest urealnienie agendy poprzez dostosowanie dat wejścia w życie poszczególnych etapów realizacji ESAP oraz czasu przeznaczonego na dokładne opracowanie </w:t>
      </w:r>
      <w:r w:rsidR="006B0394">
        <w:rPr>
          <w:sz w:val="24"/>
          <w:szCs w:val="24"/>
        </w:rPr>
        <w:t>wprowadzanych zmian.</w:t>
      </w:r>
    </w:p>
    <w:p w14:paraId="183969D9" w14:textId="47E23D0B" w:rsidR="0018251B" w:rsidRDefault="006B0394" w:rsidP="00F6428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A6009">
        <w:rPr>
          <w:rFonts w:asciiTheme="minorHAnsi" w:hAnsiTheme="minorHAnsi"/>
          <w:sz w:val="24"/>
          <w:szCs w:val="24"/>
        </w:rPr>
        <w:t xml:space="preserve">Rząd Rzeczypospolitej Polskiej wyraża </w:t>
      </w:r>
      <w:r>
        <w:rPr>
          <w:rFonts w:asciiTheme="minorHAnsi" w:hAnsiTheme="minorHAnsi"/>
          <w:sz w:val="24"/>
          <w:szCs w:val="24"/>
        </w:rPr>
        <w:t xml:space="preserve">wątpliwości </w:t>
      </w:r>
      <w:r w:rsidRPr="005A6009">
        <w:rPr>
          <w:rFonts w:asciiTheme="minorHAnsi" w:hAnsiTheme="minorHAnsi"/>
          <w:sz w:val="24"/>
          <w:szCs w:val="24"/>
        </w:rPr>
        <w:t>odn</w:t>
      </w:r>
      <w:r>
        <w:rPr>
          <w:rFonts w:asciiTheme="minorHAnsi" w:hAnsiTheme="minorHAnsi"/>
          <w:sz w:val="24"/>
          <w:szCs w:val="24"/>
        </w:rPr>
        <w:t xml:space="preserve">ośnie sposobu finansowania ESAP, ponieważ </w:t>
      </w:r>
      <w:r w:rsidRPr="005A6009">
        <w:rPr>
          <w:rFonts w:asciiTheme="minorHAnsi" w:hAnsiTheme="minorHAnsi"/>
          <w:sz w:val="24"/>
          <w:szCs w:val="24"/>
        </w:rPr>
        <w:t xml:space="preserve"> </w:t>
      </w:r>
      <w:r w:rsidR="00913C43">
        <w:rPr>
          <w:sz w:val="24"/>
          <w:szCs w:val="24"/>
        </w:rPr>
        <w:t>nie został określony sposób</w:t>
      </w:r>
      <w:r>
        <w:rPr>
          <w:sz w:val="24"/>
          <w:szCs w:val="24"/>
        </w:rPr>
        <w:t>, w jaki sposób</w:t>
      </w:r>
      <w:r w:rsidRPr="005A6009">
        <w:rPr>
          <w:sz w:val="24"/>
          <w:szCs w:val="24"/>
        </w:rPr>
        <w:t xml:space="preserve"> krajowe organy miałyby dostosować swoje źródła finansowania odpowiedzialne za wpłaty w wysokości 60% kosztów administracyjnych i operacyjnych działania ESAP. </w:t>
      </w:r>
      <w:r w:rsidR="00C951E4">
        <w:rPr>
          <w:sz w:val="24"/>
          <w:szCs w:val="24"/>
        </w:rPr>
        <w:t xml:space="preserve">Ponadto, wydaje się, że w przypadku podmiotów zobowiązanych do raportowania danych kwestie kosztów jednorazowych oraz  </w:t>
      </w:r>
      <w:r w:rsidR="00C951E4">
        <w:rPr>
          <w:sz w:val="24"/>
          <w:szCs w:val="24"/>
        </w:rPr>
        <w:lastRenderedPageBreak/>
        <w:t>rocznych kosztów stałych</w:t>
      </w:r>
      <w:r w:rsidR="00C951E4" w:rsidRPr="00A061A1">
        <w:rPr>
          <w:sz w:val="24"/>
          <w:szCs w:val="24"/>
        </w:rPr>
        <w:t xml:space="preserve"> związane ze składaniem dokumentacji, uzyskaniem identyfikatora podmiotu prawnego, certyfikatu cyfrowego</w:t>
      </w:r>
      <w:r w:rsidR="00C951E4">
        <w:rPr>
          <w:sz w:val="24"/>
          <w:szCs w:val="24"/>
        </w:rPr>
        <w:t xml:space="preserve"> i narzędzi</w:t>
      </w:r>
      <w:r w:rsidR="00C951E4" w:rsidRPr="00A061A1">
        <w:rPr>
          <w:sz w:val="24"/>
          <w:szCs w:val="24"/>
        </w:rPr>
        <w:t xml:space="preserve"> do podpisywania </w:t>
      </w:r>
      <w:r w:rsidR="00C951E4">
        <w:rPr>
          <w:sz w:val="24"/>
          <w:szCs w:val="24"/>
        </w:rPr>
        <w:t xml:space="preserve">zostały niedoszacowane. </w:t>
      </w:r>
      <w:r w:rsidRPr="005A6009">
        <w:rPr>
          <w:rFonts w:asciiTheme="minorHAnsi" w:hAnsiTheme="minorHAnsi"/>
          <w:sz w:val="24"/>
          <w:szCs w:val="24"/>
        </w:rPr>
        <w:t xml:space="preserve">Kwestie </w:t>
      </w:r>
      <w:r>
        <w:rPr>
          <w:rFonts w:asciiTheme="minorHAnsi" w:hAnsiTheme="minorHAnsi"/>
          <w:sz w:val="24"/>
          <w:szCs w:val="24"/>
        </w:rPr>
        <w:t xml:space="preserve">te </w:t>
      </w:r>
      <w:r w:rsidRPr="005A6009">
        <w:rPr>
          <w:rFonts w:asciiTheme="minorHAnsi" w:hAnsiTheme="minorHAnsi"/>
          <w:sz w:val="24"/>
          <w:szCs w:val="24"/>
        </w:rPr>
        <w:t xml:space="preserve">wymagają </w:t>
      </w:r>
      <w:r w:rsidR="00C951E4">
        <w:rPr>
          <w:rFonts w:asciiTheme="minorHAnsi" w:hAnsiTheme="minorHAnsi"/>
          <w:sz w:val="24"/>
          <w:szCs w:val="24"/>
        </w:rPr>
        <w:t xml:space="preserve">urealnienia i </w:t>
      </w:r>
      <w:r w:rsidRPr="005A6009">
        <w:rPr>
          <w:rFonts w:asciiTheme="minorHAnsi" w:hAnsiTheme="minorHAnsi"/>
          <w:sz w:val="24"/>
          <w:szCs w:val="24"/>
        </w:rPr>
        <w:t>doprecyzowania na dalszym etapie prac legislacyjnych.</w:t>
      </w:r>
    </w:p>
    <w:p w14:paraId="1CB49FC3" w14:textId="77777777" w:rsidR="00C951E4" w:rsidRDefault="00C951E4" w:rsidP="00F6428A">
      <w:pPr>
        <w:spacing w:after="0"/>
        <w:jc w:val="both"/>
        <w:rPr>
          <w:sz w:val="24"/>
          <w:szCs w:val="24"/>
        </w:rPr>
      </w:pPr>
    </w:p>
    <w:p w14:paraId="634E1EA9" w14:textId="3EF1949E" w:rsidR="0018251B" w:rsidRDefault="0018251B" w:rsidP="00F6428A">
      <w:pPr>
        <w:jc w:val="both"/>
        <w:rPr>
          <w:sz w:val="24"/>
          <w:szCs w:val="24"/>
        </w:rPr>
      </w:pPr>
      <w:r w:rsidRPr="0018251B">
        <w:rPr>
          <w:sz w:val="24"/>
          <w:szCs w:val="24"/>
        </w:rPr>
        <w:t>W opinii Rządu Rzeczypospolitej Polskiej podczas prac nad projektem należy zwrócić uwagę na</w:t>
      </w:r>
      <w:r>
        <w:rPr>
          <w:sz w:val="24"/>
          <w:szCs w:val="24"/>
        </w:rPr>
        <w:t xml:space="preserve"> </w:t>
      </w:r>
      <w:r w:rsidRPr="001825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występujące różnice w dotychczasowym raportowaniu w poszczególnych państwach członkowskich, zwłaszcza w zakresie znacznego zdywersyfikowania UE pod </w:t>
      </w:r>
      <w:r w:rsidR="00C951E4">
        <w:rPr>
          <w:sz w:val="24"/>
          <w:szCs w:val="24"/>
        </w:rPr>
        <w:t xml:space="preserve">kątem digitalizacji. Stosowanie różnych formatów danych powinno zostać uspójnione także z uwzględnieniem dotychczasowej legislacji (np. </w:t>
      </w:r>
      <w:r w:rsidR="00433CD7">
        <w:rPr>
          <w:sz w:val="24"/>
          <w:szCs w:val="24"/>
        </w:rPr>
        <w:t>informacji przekazywanych w związku ze zrównoważonym rozwojem, które będą otagowane godnie z zasadami taksonomii opracowanej i wydanej przez KE) oraz ze stosowanym obecnie formatami danych odczytywanych maszynowo.</w:t>
      </w:r>
    </w:p>
    <w:p w14:paraId="2F48E8A1" w14:textId="72F01127" w:rsidR="00813348" w:rsidRPr="003D4E48" w:rsidRDefault="00813348" w:rsidP="00F6428A">
      <w:pPr>
        <w:spacing w:after="0"/>
        <w:jc w:val="both"/>
        <w:rPr>
          <w:sz w:val="24"/>
          <w:szCs w:val="24"/>
        </w:rPr>
      </w:pPr>
      <w:r w:rsidRPr="003D4E48">
        <w:rPr>
          <w:sz w:val="24"/>
          <w:szCs w:val="24"/>
        </w:rPr>
        <w:t>Rozporządzeni</w:t>
      </w:r>
      <w:r w:rsidR="003D4E48" w:rsidRPr="003D4E48">
        <w:rPr>
          <w:sz w:val="24"/>
          <w:szCs w:val="24"/>
        </w:rPr>
        <w:t>e</w:t>
      </w:r>
      <w:r w:rsidRPr="003D4E48">
        <w:rPr>
          <w:sz w:val="24"/>
          <w:szCs w:val="24"/>
        </w:rPr>
        <w:t xml:space="preserve"> </w:t>
      </w:r>
      <w:r w:rsidR="003D4E48" w:rsidRPr="003D4E48">
        <w:rPr>
          <w:sz w:val="24"/>
          <w:szCs w:val="24"/>
        </w:rPr>
        <w:t>ustanawiające</w:t>
      </w:r>
      <w:r w:rsidRPr="003D4E48">
        <w:rPr>
          <w:sz w:val="24"/>
          <w:szCs w:val="24"/>
        </w:rPr>
        <w:t xml:space="preserve"> ESAP przewiduje ponowną walidację przez ESAP informacji przekazanych przez organ gromadzący dane oraz </w:t>
      </w:r>
      <w:r w:rsidR="003D4E48" w:rsidRPr="003D4E48">
        <w:rPr>
          <w:sz w:val="24"/>
          <w:szCs w:val="24"/>
        </w:rPr>
        <w:t xml:space="preserve">zawiadamianie właściwego organu zbierającego </w:t>
      </w:r>
      <w:r w:rsidRPr="003D4E48">
        <w:rPr>
          <w:sz w:val="24"/>
          <w:szCs w:val="24"/>
        </w:rPr>
        <w:t>w przypadku braku pozytywnego wyniku ponownej walidacji.</w:t>
      </w:r>
      <w:r w:rsidR="003D4E48" w:rsidRPr="003D4E48">
        <w:rPr>
          <w:sz w:val="24"/>
          <w:szCs w:val="24"/>
        </w:rPr>
        <w:t xml:space="preserve"> W opinii Rządu Rzeczypospolitej Polskiej warto zauważyć, że dotychczasowe doświadczenia dotyczące</w:t>
      </w:r>
      <w:r w:rsidRPr="003D4E48">
        <w:rPr>
          <w:sz w:val="24"/>
          <w:szCs w:val="24"/>
        </w:rPr>
        <w:t xml:space="preserve"> walidacji sporządzonych w formacie ESEF skonsolidowanych sprawozdań finansowych emitentów wskazują, że pomimo zdefiniowanych reguł walidacyjnych, zwykle otrzymywane są różne wyniki walidacji </w:t>
      </w:r>
      <w:r w:rsidRPr="003D4E48">
        <w:rPr>
          <w:sz w:val="24"/>
          <w:szCs w:val="24"/>
        </w:rPr>
        <w:br/>
        <w:t xml:space="preserve">w zależności od rodzaju zastosowanego </w:t>
      </w:r>
      <w:proofErr w:type="spellStart"/>
      <w:r w:rsidRPr="003D4E48">
        <w:rPr>
          <w:sz w:val="24"/>
          <w:szCs w:val="24"/>
        </w:rPr>
        <w:t>walidatora</w:t>
      </w:r>
      <w:proofErr w:type="spellEnd"/>
      <w:r w:rsidRPr="003D4E48">
        <w:rPr>
          <w:sz w:val="24"/>
          <w:szCs w:val="24"/>
        </w:rPr>
        <w:t xml:space="preserve">/dostawcy narzędzia. </w:t>
      </w:r>
      <w:r w:rsidR="003D4E48" w:rsidRPr="003D4E48">
        <w:rPr>
          <w:sz w:val="24"/>
          <w:szCs w:val="24"/>
        </w:rPr>
        <w:t>Dlatego w opinii Rządu Rzeczypospolitej Polskiej podczas prac nad projektem należy zwrócić uwagę na wyeliminowanie potencjalnych błędów w systemie poprzez ustalenie stosowania takich samych narzędzi walidacyjnych.</w:t>
      </w:r>
    </w:p>
    <w:p w14:paraId="28D93166" w14:textId="77777777" w:rsidR="00813348" w:rsidRDefault="00813348" w:rsidP="00F6428A">
      <w:pPr>
        <w:jc w:val="both"/>
        <w:rPr>
          <w:color w:val="FF0000"/>
          <w:sz w:val="24"/>
          <w:szCs w:val="24"/>
        </w:rPr>
      </w:pPr>
    </w:p>
    <w:p w14:paraId="701442D8" w14:textId="77777777" w:rsidR="00C94766" w:rsidRPr="00500762" w:rsidRDefault="00C94766" w:rsidP="00F6428A">
      <w:pPr>
        <w:pStyle w:val="Tekstpodstawowy"/>
        <w:spacing w:after="0"/>
        <w:jc w:val="both"/>
        <w:rPr>
          <w:sz w:val="24"/>
        </w:rPr>
      </w:pPr>
    </w:p>
    <w:p w14:paraId="54554364" w14:textId="77777777" w:rsidR="004961B5" w:rsidRDefault="004961B5" w:rsidP="00F6428A">
      <w:pPr>
        <w:pStyle w:val="Tekstpodstawowy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prawnych </w:t>
      </w:r>
    </w:p>
    <w:p w14:paraId="660734F5" w14:textId="0919062F" w:rsidR="000E6525" w:rsidRPr="004C62BE" w:rsidRDefault="000E6525" w:rsidP="00F6428A">
      <w:pPr>
        <w:pStyle w:val="Tekstpodstawowy"/>
        <w:spacing w:after="0"/>
        <w:jc w:val="both"/>
        <w:rPr>
          <w:rFonts w:asciiTheme="minorHAnsi" w:hAnsiTheme="minorHAnsi"/>
          <w:sz w:val="24"/>
          <w:szCs w:val="24"/>
        </w:rPr>
      </w:pPr>
      <w:r w:rsidRPr="004C62BE">
        <w:rPr>
          <w:rFonts w:asciiTheme="minorHAnsi" w:hAnsiTheme="minorHAnsi"/>
          <w:sz w:val="24"/>
          <w:szCs w:val="24"/>
        </w:rPr>
        <w:t xml:space="preserve">Przyjęcie proponowanych zmian </w:t>
      </w:r>
      <w:r>
        <w:rPr>
          <w:rFonts w:asciiTheme="minorHAnsi" w:hAnsiTheme="minorHAnsi"/>
          <w:sz w:val="24"/>
          <w:szCs w:val="24"/>
        </w:rPr>
        <w:t xml:space="preserve">w rozporządzeniu zmieniającym oraz rozporządzeniu ustanawiającym ESAP, w zależności od ich ostatecznego kształtu, może </w:t>
      </w:r>
      <w:r w:rsidRPr="004C62BE">
        <w:rPr>
          <w:rFonts w:asciiTheme="minorHAnsi" w:hAnsiTheme="minorHAnsi"/>
          <w:sz w:val="24"/>
          <w:szCs w:val="24"/>
        </w:rPr>
        <w:t>skutkować koniecznością nowelizacji</w:t>
      </w:r>
      <w:r>
        <w:rPr>
          <w:rFonts w:asciiTheme="minorHAnsi" w:hAnsiTheme="minorHAnsi"/>
          <w:sz w:val="24"/>
          <w:szCs w:val="24"/>
        </w:rPr>
        <w:t xml:space="preserve"> prawa krajowego. </w:t>
      </w:r>
      <w:r w:rsidRPr="00B15057">
        <w:rPr>
          <w:rFonts w:asciiTheme="minorHAnsi" w:hAnsiTheme="minorHAnsi"/>
          <w:sz w:val="24"/>
          <w:szCs w:val="24"/>
        </w:rPr>
        <w:t>Rozporządzenie unijne ma</w:t>
      </w:r>
      <w:r>
        <w:rPr>
          <w:rFonts w:asciiTheme="minorHAnsi" w:hAnsiTheme="minorHAnsi"/>
          <w:sz w:val="24"/>
          <w:szCs w:val="24"/>
        </w:rPr>
        <w:t xml:space="preserve"> zasięg ogólny, wiąże w całości</w:t>
      </w:r>
      <w:r w:rsidRPr="00B15057">
        <w:rPr>
          <w:rFonts w:asciiTheme="minorHAnsi" w:hAnsiTheme="minorHAnsi"/>
          <w:sz w:val="24"/>
          <w:szCs w:val="24"/>
        </w:rPr>
        <w:t xml:space="preserve"> i jest bezpośrednio stosowane we wszystkich </w:t>
      </w:r>
      <w:r>
        <w:rPr>
          <w:rFonts w:asciiTheme="minorHAnsi" w:hAnsiTheme="minorHAnsi"/>
          <w:sz w:val="24"/>
          <w:szCs w:val="24"/>
        </w:rPr>
        <w:t>p</w:t>
      </w:r>
      <w:r w:rsidRPr="00B15057">
        <w:rPr>
          <w:rFonts w:asciiTheme="minorHAnsi" w:hAnsiTheme="minorHAnsi"/>
          <w:sz w:val="24"/>
          <w:szCs w:val="24"/>
        </w:rPr>
        <w:t xml:space="preserve">aństwach </w:t>
      </w:r>
      <w:r>
        <w:rPr>
          <w:rFonts w:asciiTheme="minorHAnsi" w:hAnsiTheme="minorHAnsi"/>
          <w:sz w:val="24"/>
          <w:szCs w:val="24"/>
        </w:rPr>
        <w:t>c</w:t>
      </w:r>
      <w:r w:rsidRPr="00B15057">
        <w:rPr>
          <w:rFonts w:asciiTheme="minorHAnsi" w:hAnsiTheme="minorHAnsi"/>
          <w:sz w:val="24"/>
          <w:szCs w:val="24"/>
        </w:rPr>
        <w:t xml:space="preserve">złonkowskich. </w:t>
      </w:r>
      <w:r w:rsidRPr="001C389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 zależności jednak od ostatecznego brzmienia dokonanych we wniosku zmian może istnieć konieczność wprowadzenia ich w niektórych aktach prawnych m.in.: ustawie z dnia 29 lipca 2005 r. o ob</w:t>
      </w:r>
      <w:r w:rsidR="00FE3EEF">
        <w:rPr>
          <w:rFonts w:asciiTheme="minorHAnsi" w:hAnsiTheme="minorHAnsi"/>
          <w:sz w:val="24"/>
          <w:szCs w:val="24"/>
        </w:rPr>
        <w:t>rocie instrumentami finansowymi</w:t>
      </w:r>
      <w:r>
        <w:rPr>
          <w:rFonts w:asciiTheme="minorHAnsi" w:hAnsiTheme="minorHAnsi"/>
          <w:sz w:val="24"/>
          <w:szCs w:val="24"/>
        </w:rPr>
        <w:t xml:space="preserve"> czy w ustawie z dnia 21 lipca 2006 r. o nadzorze nad rynkiem finansowym.</w:t>
      </w:r>
    </w:p>
    <w:p w14:paraId="3D878ED8" w14:textId="77777777" w:rsidR="00500762" w:rsidRDefault="00500762" w:rsidP="00F6428A">
      <w:pPr>
        <w:pStyle w:val="Tekstpodstawowy"/>
        <w:spacing w:after="0"/>
        <w:ind w:left="360"/>
        <w:jc w:val="both"/>
        <w:rPr>
          <w:sz w:val="24"/>
        </w:rPr>
      </w:pPr>
    </w:p>
    <w:p w14:paraId="4393FA2E" w14:textId="04074588" w:rsidR="008C4CAD" w:rsidRPr="00C30CC6" w:rsidRDefault="00500762" w:rsidP="00F6428A">
      <w:pPr>
        <w:pStyle w:val="Tekstpodstawowy"/>
        <w:spacing w:after="0"/>
        <w:jc w:val="both"/>
        <w:rPr>
          <w:b/>
          <w:sz w:val="24"/>
        </w:rPr>
      </w:pPr>
      <w:r w:rsidRPr="00582709">
        <w:rPr>
          <w:sz w:val="24"/>
        </w:rPr>
        <w:t>Implementacja dyrektywy</w:t>
      </w:r>
      <w:r w:rsidR="004B67CE">
        <w:rPr>
          <w:sz w:val="24"/>
        </w:rPr>
        <w:t xml:space="preserve"> </w:t>
      </w:r>
      <w:r w:rsidR="00FE3EEF">
        <w:rPr>
          <w:sz w:val="24"/>
        </w:rPr>
        <w:t>zmieniającej</w:t>
      </w:r>
      <w:r w:rsidRPr="00582709">
        <w:rPr>
          <w:sz w:val="24"/>
        </w:rPr>
        <w:t xml:space="preserve">, w zależności od jej ostatecznego brzmienia, może wymagać zmian w </w:t>
      </w:r>
      <w:r>
        <w:rPr>
          <w:sz w:val="24"/>
        </w:rPr>
        <w:t xml:space="preserve">szeregu ustaw m.in. </w:t>
      </w:r>
      <w:r w:rsidRPr="00582709">
        <w:rPr>
          <w:sz w:val="24"/>
        </w:rPr>
        <w:t xml:space="preserve">ustawie o obrocie instrumentami finansowymi, ustawie o nadzorze nad rynkiem finansowym, ustawie o nadzorze uzupełniającym nad instytucjami kredytowymi, zakładami ubezpieczeń, zakładami reasekuracji i firmami inwestycyjnymi wchodzącymi w skład konglomeratu finansowego, </w:t>
      </w:r>
      <w:r w:rsidRPr="00535A2C">
        <w:rPr>
          <w:sz w:val="24"/>
        </w:rPr>
        <w:t xml:space="preserve">ustawie o działalności </w:t>
      </w:r>
      <w:r w:rsidRPr="00535A2C">
        <w:rPr>
          <w:sz w:val="24"/>
        </w:rPr>
        <w:lastRenderedPageBreak/>
        <w:t xml:space="preserve">ubezpieczeniowej i reasekuracyjnej </w:t>
      </w:r>
      <w:r w:rsidRPr="00582709">
        <w:rPr>
          <w:sz w:val="24"/>
        </w:rPr>
        <w:t>oraz w aktach wykonawczych wydanych na podstawie tych ustaw</w:t>
      </w:r>
      <w:r>
        <w:rPr>
          <w:sz w:val="24"/>
        </w:rPr>
        <w:t>.</w:t>
      </w:r>
    </w:p>
    <w:p w14:paraId="1EF18816" w14:textId="77777777" w:rsidR="004961B5" w:rsidRPr="00C30CC6" w:rsidRDefault="004961B5" w:rsidP="00F6428A">
      <w:pPr>
        <w:pStyle w:val="Tekstpodstawowy"/>
        <w:spacing w:after="0"/>
        <w:jc w:val="both"/>
        <w:rPr>
          <w:sz w:val="24"/>
        </w:rPr>
      </w:pPr>
    </w:p>
    <w:p w14:paraId="32FE7182" w14:textId="77777777" w:rsidR="004961B5" w:rsidRDefault="004961B5" w:rsidP="00F6428A">
      <w:pPr>
        <w:pStyle w:val="Tekstpodstawowy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społecznych </w:t>
      </w:r>
    </w:p>
    <w:p w14:paraId="37D4FC1E" w14:textId="7E5A008D" w:rsidR="004961B5" w:rsidRDefault="00500762" w:rsidP="00F6428A">
      <w:pPr>
        <w:pStyle w:val="Tekstpodstawowy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4C62BE">
        <w:rPr>
          <w:rFonts w:asciiTheme="minorHAnsi" w:hAnsiTheme="minorHAnsi"/>
          <w:sz w:val="24"/>
          <w:szCs w:val="24"/>
        </w:rPr>
        <w:t>Przedmiotowy projekt nie wywoła istotnych skutków społecznych</w:t>
      </w:r>
      <w:r>
        <w:rPr>
          <w:rFonts w:asciiTheme="minorHAnsi" w:hAnsiTheme="minorHAnsi"/>
          <w:sz w:val="24"/>
          <w:szCs w:val="24"/>
        </w:rPr>
        <w:t>.</w:t>
      </w:r>
    </w:p>
    <w:p w14:paraId="5DD41476" w14:textId="77777777" w:rsidR="00F3058C" w:rsidRPr="00C30CC6" w:rsidRDefault="00F3058C" w:rsidP="00F6428A">
      <w:pPr>
        <w:pStyle w:val="Tekstpodstawowy"/>
        <w:spacing w:after="0"/>
        <w:ind w:left="360"/>
        <w:jc w:val="both"/>
        <w:rPr>
          <w:b/>
          <w:sz w:val="24"/>
        </w:rPr>
      </w:pPr>
    </w:p>
    <w:p w14:paraId="00D8CB44" w14:textId="77777777" w:rsidR="004961B5" w:rsidRDefault="004961B5" w:rsidP="00F6428A">
      <w:pPr>
        <w:pStyle w:val="Tekstpodstawowy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gospodarczych </w:t>
      </w:r>
    </w:p>
    <w:p w14:paraId="057E0B73" w14:textId="786422ED" w:rsidR="00500762" w:rsidRPr="00C30CC6" w:rsidRDefault="00500762" w:rsidP="00F6428A">
      <w:pPr>
        <w:pStyle w:val="Tekstpodstawowy"/>
        <w:spacing w:after="0"/>
        <w:ind w:left="360"/>
        <w:jc w:val="both"/>
        <w:rPr>
          <w:b/>
          <w:sz w:val="24"/>
        </w:rPr>
      </w:pPr>
      <w:r w:rsidRPr="004C62BE">
        <w:rPr>
          <w:rFonts w:asciiTheme="minorHAnsi" w:hAnsiTheme="minorHAnsi"/>
          <w:sz w:val="24"/>
          <w:szCs w:val="24"/>
        </w:rPr>
        <w:t xml:space="preserve">Przyjęcie proponowanego wniosku </w:t>
      </w:r>
      <w:r>
        <w:rPr>
          <w:rFonts w:asciiTheme="minorHAnsi" w:hAnsiTheme="minorHAnsi"/>
          <w:sz w:val="24"/>
          <w:szCs w:val="24"/>
        </w:rPr>
        <w:t>może przełożyć się na zwiększenie kosztów ponoszonych przez niektórych uczestników rynku</w:t>
      </w:r>
      <w:r w:rsidR="00613403">
        <w:rPr>
          <w:rFonts w:asciiTheme="minorHAnsi" w:hAnsiTheme="minorHAnsi"/>
          <w:sz w:val="24"/>
          <w:szCs w:val="24"/>
        </w:rPr>
        <w:t xml:space="preserve"> finansowego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4F89E1DA" w14:textId="77777777" w:rsidR="004961B5" w:rsidRPr="00C30CC6" w:rsidRDefault="004961B5" w:rsidP="00F6428A">
      <w:pPr>
        <w:pStyle w:val="Tekstpodstawowy"/>
        <w:spacing w:after="0"/>
        <w:jc w:val="both"/>
        <w:rPr>
          <w:b/>
          <w:sz w:val="24"/>
        </w:rPr>
      </w:pPr>
    </w:p>
    <w:p w14:paraId="77AA4AAF" w14:textId="77777777" w:rsidR="004961B5" w:rsidRPr="00C30CC6" w:rsidRDefault="004961B5" w:rsidP="00F6428A">
      <w:pPr>
        <w:pStyle w:val="Tekstpodstawowy"/>
        <w:numPr>
          <w:ilvl w:val="0"/>
          <w:numId w:val="2"/>
        </w:numPr>
        <w:spacing w:after="0"/>
        <w:jc w:val="both"/>
        <w:rPr>
          <w:b/>
          <w:sz w:val="24"/>
        </w:rPr>
      </w:pPr>
      <w:r w:rsidRPr="00C30CC6">
        <w:rPr>
          <w:b/>
          <w:sz w:val="24"/>
        </w:rPr>
        <w:t xml:space="preserve">Ocena skutków finansowych </w:t>
      </w:r>
    </w:p>
    <w:p w14:paraId="5C43E125" w14:textId="2F810E04" w:rsidR="00A061A1" w:rsidRDefault="00A061A1" w:rsidP="00F6428A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 w:rsidRPr="00A061A1">
        <w:rPr>
          <w:sz w:val="24"/>
          <w:szCs w:val="24"/>
        </w:rPr>
        <w:t>Łączne koszty wdrożenia (infrastruktury) i obsługi ESAP przez ESMA w latach 2022-2027 wyniosą do 16 mln EUR. Szacuje się</w:t>
      </w:r>
      <w:r w:rsidR="00DD0A4E">
        <w:rPr>
          <w:sz w:val="24"/>
          <w:szCs w:val="24"/>
        </w:rPr>
        <w:t xml:space="preserve">, że koszty połączenia unijnych oraz </w:t>
      </w:r>
      <w:r w:rsidRPr="00A061A1">
        <w:rPr>
          <w:sz w:val="24"/>
          <w:szCs w:val="24"/>
        </w:rPr>
        <w:t xml:space="preserve">krajowych punktów zbierania danych z ESAP wyniosą około 50 800 EUR na podmiot zbierający dane i 3,1 mln EUR łącznie (jednorazowo), natomiast koszty stałe wyniosą około 6 500 EUR na podmiot zbierający dane i około 0,4 mln EUR łącznie. W przypadku podmiotów opracowujących dane roczne koszty stałe związane ze składaniem dokumentacji, uzyskaniem identyfikatora podmiotu prawnego, certyfikatu cyfrowego i narzędzia do podpisywania szacuje się na 800 EUR na poziomie indywidualnym i około 121 mln EUR na poziomie zbiorczym w UE. Środki finansowe przekazywane ESMA (zarówno na koszty administracyjne, jak i operacyjne) po wejściu w życie przepisów będą współfinansowane z budżetu UE w wysokości do 40 % oraz przez właściwe organy krajowe w wysokości pozostałych 60 %. We wniosku nie określono sposobów, w jakie krajowe organy odpowiedzialne za </w:t>
      </w:r>
      <w:r w:rsidR="004B67CE">
        <w:rPr>
          <w:sz w:val="24"/>
          <w:szCs w:val="24"/>
        </w:rPr>
        <w:t xml:space="preserve">wpłaty na ESAP </w:t>
      </w:r>
      <w:r w:rsidRPr="00A061A1">
        <w:rPr>
          <w:sz w:val="24"/>
          <w:szCs w:val="24"/>
        </w:rPr>
        <w:t xml:space="preserve">miałyby w razie potrzeby dostosować swoje źródła finansowania. Program TSI Komisji </w:t>
      </w:r>
      <w:r w:rsidR="001A63A1">
        <w:rPr>
          <w:sz w:val="24"/>
          <w:szCs w:val="24"/>
        </w:rPr>
        <w:t xml:space="preserve">Europejskiej </w:t>
      </w:r>
      <w:r w:rsidRPr="00A061A1">
        <w:rPr>
          <w:sz w:val="24"/>
          <w:szCs w:val="24"/>
        </w:rPr>
        <w:t>(DG REFORM) może częściowo finansować wsparcie techniczne dla wdrażania ESAP przez właściwe organy krajowe, na ich wniosek.</w:t>
      </w:r>
    </w:p>
    <w:p w14:paraId="5B00260A" w14:textId="27975A2C" w:rsidR="00500762" w:rsidRPr="00C30CC6" w:rsidRDefault="00500762" w:rsidP="00F6428A">
      <w:pPr>
        <w:pStyle w:val="Akapitzlist"/>
        <w:spacing w:after="0"/>
        <w:ind w:left="360"/>
        <w:jc w:val="both"/>
      </w:pPr>
      <w:r w:rsidRPr="00500762">
        <w:rPr>
          <w:rFonts w:asciiTheme="minorHAnsi" w:hAnsiTheme="minorHAnsi"/>
          <w:sz w:val="24"/>
          <w:szCs w:val="24"/>
        </w:rPr>
        <w:t>Sprecyzowane, jakie koszty zostaną poniesione przez polskie podmioty finansowe jest aktualnie niemożliwe z uwagi na fakt, że projekt rozporządzenia nie zawiera szczegółów w tej kwestii. Ocena skutków finansowych w przedmiotowej kwestii będzie możliwa po opracowaniu przez KE aktu delegowanego, bądź w przypadku przedstawienia bardziej szczegółowych propozycji w toku dalszych prac legislacyjnych.</w:t>
      </w:r>
    </w:p>
    <w:p w14:paraId="2FC04140" w14:textId="77777777" w:rsidR="0038553B" w:rsidRPr="00C30CC6" w:rsidRDefault="0038553B" w:rsidP="00F6428A">
      <w:pPr>
        <w:spacing w:after="0"/>
        <w:jc w:val="both"/>
      </w:pPr>
    </w:p>
    <w:p w14:paraId="7D93F223" w14:textId="77777777" w:rsidR="0038553B" w:rsidRPr="00C30CC6" w:rsidRDefault="0038553B" w:rsidP="00F6428A">
      <w:pPr>
        <w:spacing w:after="0"/>
        <w:jc w:val="both"/>
      </w:pPr>
    </w:p>
    <w:p w14:paraId="2FBD2A44" w14:textId="77777777" w:rsidR="0038553B" w:rsidRPr="00C30CC6" w:rsidRDefault="0038553B" w:rsidP="00F6428A">
      <w:pPr>
        <w:pStyle w:val="Nagwek5"/>
        <w:spacing w:line="276" w:lineRule="auto"/>
        <w:jc w:val="both"/>
        <w:rPr>
          <w:rFonts w:ascii="Calibri" w:hAnsi="Calibri"/>
        </w:rPr>
      </w:pPr>
      <w:r w:rsidRPr="00C30CC6">
        <w:rPr>
          <w:rFonts w:ascii="Calibri" w:hAnsi="Calibri"/>
        </w:rPr>
        <w:t>Informacja w sprawie zgodności projektu aktu z zasadą pomocniczości</w:t>
      </w:r>
    </w:p>
    <w:p w14:paraId="070B4ECB" w14:textId="77777777" w:rsidR="0038553B" w:rsidRPr="00C30CC6" w:rsidRDefault="0038553B" w:rsidP="00F6428A">
      <w:pPr>
        <w:spacing w:after="0"/>
        <w:jc w:val="both"/>
        <w:rPr>
          <w:i/>
        </w:rPr>
      </w:pPr>
    </w:p>
    <w:p w14:paraId="57DA7E49" w14:textId="77777777" w:rsidR="00794700" w:rsidRPr="00DE7C7A" w:rsidRDefault="00794700" w:rsidP="00F6428A">
      <w:pPr>
        <w:spacing w:after="0"/>
        <w:jc w:val="both"/>
      </w:pPr>
      <w:r w:rsidRPr="00DE7C7A">
        <w:rPr>
          <w:sz w:val="24"/>
          <w:szCs w:val="24"/>
        </w:rPr>
        <w:t xml:space="preserve">W opinii Ministerstwa Finansów </w:t>
      </w:r>
      <w:r>
        <w:rPr>
          <w:sz w:val="24"/>
          <w:szCs w:val="24"/>
        </w:rPr>
        <w:t>wniosek</w:t>
      </w:r>
      <w:r w:rsidRPr="00DE7C7A">
        <w:rPr>
          <w:sz w:val="24"/>
          <w:szCs w:val="24"/>
        </w:rPr>
        <w:t xml:space="preserve"> jest zgodny z zasadą pomocniczości.</w:t>
      </w:r>
    </w:p>
    <w:p w14:paraId="742BADBA" w14:textId="77777777" w:rsidR="0038553B" w:rsidRPr="00794700" w:rsidRDefault="0038553B" w:rsidP="00F6428A">
      <w:pPr>
        <w:spacing w:after="0"/>
        <w:jc w:val="both"/>
      </w:pPr>
    </w:p>
    <w:p w14:paraId="4AB4B866" w14:textId="77777777" w:rsidR="0038553B" w:rsidRPr="00C30CC6" w:rsidRDefault="0038553B" w:rsidP="00F6428A">
      <w:pPr>
        <w:spacing w:after="0"/>
        <w:jc w:val="both"/>
      </w:pPr>
    </w:p>
    <w:p w14:paraId="1212F667" w14:textId="77777777" w:rsidR="004961B5" w:rsidRPr="00C30CC6" w:rsidRDefault="004961B5" w:rsidP="00F6428A">
      <w:pPr>
        <w:pStyle w:val="Nagwek5"/>
        <w:spacing w:line="276" w:lineRule="auto"/>
        <w:jc w:val="both"/>
        <w:rPr>
          <w:rFonts w:ascii="Calibri" w:hAnsi="Calibri"/>
        </w:rPr>
      </w:pPr>
      <w:r w:rsidRPr="00C30CC6">
        <w:rPr>
          <w:rFonts w:ascii="Calibri" w:hAnsi="Calibri"/>
        </w:rPr>
        <w:t xml:space="preserve">Przedstawiciel Rządu upoważniony do prezentowania stanowiska </w:t>
      </w:r>
    </w:p>
    <w:p w14:paraId="7C837C9F" w14:textId="77777777" w:rsidR="004961B5" w:rsidRPr="00C30CC6" w:rsidRDefault="004961B5" w:rsidP="00F6428A">
      <w:pPr>
        <w:spacing w:after="0"/>
        <w:jc w:val="both"/>
      </w:pPr>
    </w:p>
    <w:p w14:paraId="5B50CA3C" w14:textId="77777777" w:rsidR="00DF0C34" w:rsidRPr="00BE1902" w:rsidRDefault="00DF0C34" w:rsidP="00F6428A">
      <w:pPr>
        <w:pStyle w:val="Tekstpodstawowy3"/>
        <w:spacing w:after="0"/>
        <w:jc w:val="both"/>
        <w:rPr>
          <w:sz w:val="24"/>
          <w:szCs w:val="24"/>
        </w:rPr>
      </w:pPr>
      <w:r w:rsidRPr="00BE1902">
        <w:rPr>
          <w:sz w:val="24"/>
          <w:szCs w:val="24"/>
        </w:rPr>
        <w:t xml:space="preserve">Piotr </w:t>
      </w:r>
      <w:r>
        <w:rPr>
          <w:sz w:val="24"/>
          <w:szCs w:val="24"/>
        </w:rPr>
        <w:t>Patkowski</w:t>
      </w:r>
    </w:p>
    <w:p w14:paraId="456B3DFB" w14:textId="77777777" w:rsidR="00DF0C34" w:rsidRPr="00BE1902" w:rsidRDefault="00DF0C34" w:rsidP="00F6428A">
      <w:pPr>
        <w:pStyle w:val="Tekstpodstawowy3"/>
        <w:spacing w:after="0"/>
        <w:jc w:val="both"/>
        <w:rPr>
          <w:sz w:val="24"/>
          <w:szCs w:val="24"/>
        </w:rPr>
      </w:pPr>
      <w:r w:rsidRPr="00BE1902">
        <w:rPr>
          <w:sz w:val="24"/>
          <w:szCs w:val="24"/>
        </w:rPr>
        <w:lastRenderedPageBreak/>
        <w:t xml:space="preserve">Podsekretarz Stanu w Ministerstwie Finansów </w:t>
      </w:r>
    </w:p>
    <w:p w14:paraId="3E35AC63" w14:textId="77777777" w:rsidR="00DF0C34" w:rsidRPr="00BE1902" w:rsidRDefault="00DF0C34" w:rsidP="00F6428A">
      <w:pPr>
        <w:pStyle w:val="Tekstpodstawowy3"/>
        <w:spacing w:after="0"/>
        <w:jc w:val="both"/>
        <w:rPr>
          <w:sz w:val="24"/>
          <w:szCs w:val="24"/>
        </w:rPr>
      </w:pPr>
      <w:r w:rsidRPr="00BE1902">
        <w:rPr>
          <w:sz w:val="24"/>
          <w:szCs w:val="24"/>
        </w:rPr>
        <w:t>ul. Świętokrzyska 12</w:t>
      </w:r>
    </w:p>
    <w:p w14:paraId="2C232284" w14:textId="77777777" w:rsidR="00DF0C34" w:rsidRPr="00BE1902" w:rsidRDefault="00DF0C34" w:rsidP="00F6428A">
      <w:pPr>
        <w:pStyle w:val="Tekstpodstawowy3"/>
        <w:spacing w:after="0"/>
        <w:jc w:val="both"/>
        <w:rPr>
          <w:i/>
          <w:sz w:val="24"/>
          <w:szCs w:val="24"/>
        </w:rPr>
      </w:pPr>
      <w:r w:rsidRPr="00BE1902">
        <w:rPr>
          <w:sz w:val="24"/>
          <w:szCs w:val="24"/>
        </w:rPr>
        <w:t>00-916 Warszawa</w:t>
      </w:r>
    </w:p>
    <w:p w14:paraId="5AEFDF8B" w14:textId="77777777" w:rsidR="006B21AC" w:rsidRPr="00C30CC6" w:rsidRDefault="006B21AC" w:rsidP="00F6428A">
      <w:pPr>
        <w:pStyle w:val="Tekstpodstawowy3"/>
        <w:spacing w:after="0"/>
        <w:jc w:val="both"/>
        <w:rPr>
          <w:i/>
          <w:sz w:val="24"/>
          <w:szCs w:val="24"/>
        </w:rPr>
      </w:pPr>
    </w:p>
    <w:sectPr w:rsidR="006B21AC" w:rsidRPr="00C30CC6" w:rsidSect="007F0C77">
      <w:headerReference w:type="default" r:id="rId16"/>
      <w:footerReference w:type="default" r:id="rId1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B91EF" w14:textId="77777777" w:rsidR="00720416" w:rsidRDefault="00720416">
      <w:pPr>
        <w:spacing w:after="0" w:line="240" w:lineRule="auto"/>
      </w:pPr>
      <w:r>
        <w:separator/>
      </w:r>
    </w:p>
  </w:endnote>
  <w:endnote w:type="continuationSeparator" w:id="0">
    <w:p w14:paraId="71EFEEC3" w14:textId="77777777" w:rsidR="00720416" w:rsidRDefault="0072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6F4C" w14:textId="77777777" w:rsidR="009E7094" w:rsidRDefault="009E70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66101" w14:textId="77777777" w:rsidR="007F0C77" w:rsidRDefault="007F0C77" w:rsidP="007F0C77">
    <w:pPr>
      <w:pStyle w:val="Stopka"/>
    </w:pPr>
  </w:p>
  <w:p w14:paraId="5F441364" w14:textId="77777777" w:rsidR="007F0C77" w:rsidRPr="007F0C77" w:rsidRDefault="007F0C77" w:rsidP="007F0C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22BC" w14:textId="77777777" w:rsidR="009E7094" w:rsidRDefault="009E709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4C241" w14:textId="77777777" w:rsidR="007F0C77" w:rsidRPr="007F0C77" w:rsidRDefault="007F0C77" w:rsidP="007F0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3CD7" w14:textId="77777777" w:rsidR="00720416" w:rsidRDefault="00720416">
      <w:pPr>
        <w:spacing w:after="0" w:line="240" w:lineRule="auto"/>
      </w:pPr>
      <w:r>
        <w:separator/>
      </w:r>
    </w:p>
  </w:footnote>
  <w:footnote w:type="continuationSeparator" w:id="0">
    <w:p w14:paraId="5651FE32" w14:textId="77777777" w:rsidR="00720416" w:rsidRDefault="0072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F8A8" w14:textId="77777777" w:rsidR="009E7094" w:rsidRDefault="009E70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4448" w14:textId="77777777" w:rsidR="007F0C77" w:rsidRDefault="007F0C77" w:rsidP="007F0C77">
    <w:pPr>
      <w:pStyle w:val="Nagwek"/>
    </w:pPr>
  </w:p>
  <w:p w14:paraId="7C014842" w14:textId="77777777" w:rsidR="007F0C77" w:rsidRDefault="007F0C77" w:rsidP="007F0C77">
    <w:pPr>
      <w:pStyle w:val="Nagwek"/>
    </w:pPr>
  </w:p>
  <w:p w14:paraId="583DFE77" w14:textId="77777777" w:rsidR="007F0C77" w:rsidRPr="007F0C77" w:rsidRDefault="007F0C77" w:rsidP="007F0C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F800" w14:textId="77777777" w:rsidR="009E7094" w:rsidRDefault="009E709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2FB6" w14:textId="77777777" w:rsidR="007F0C77" w:rsidRPr="007F0C77" w:rsidRDefault="007F0C77" w:rsidP="007F0C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7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AE2F24"/>
    <w:multiLevelType w:val="singleLevel"/>
    <w:tmpl w:val="4CFAA634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9622409"/>
    <w:multiLevelType w:val="hybridMultilevel"/>
    <w:tmpl w:val="6D84DE1E"/>
    <w:lvl w:ilvl="0" w:tplc="53F0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D2193"/>
    <w:multiLevelType w:val="hybridMultilevel"/>
    <w:tmpl w:val="9CB2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D2"/>
    <w:rsid w:val="00062932"/>
    <w:rsid w:val="0009011A"/>
    <w:rsid w:val="00091201"/>
    <w:rsid w:val="000A3C28"/>
    <w:rsid w:val="000A621D"/>
    <w:rsid w:val="000C41EE"/>
    <w:rsid w:val="000E3106"/>
    <w:rsid w:val="000E6525"/>
    <w:rsid w:val="00113581"/>
    <w:rsid w:val="00132FD6"/>
    <w:rsid w:val="00145478"/>
    <w:rsid w:val="00157A51"/>
    <w:rsid w:val="0017589C"/>
    <w:rsid w:val="001769F3"/>
    <w:rsid w:val="0018251B"/>
    <w:rsid w:val="001947A9"/>
    <w:rsid w:val="001956D9"/>
    <w:rsid w:val="001A2A88"/>
    <w:rsid w:val="001A63A1"/>
    <w:rsid w:val="001B5901"/>
    <w:rsid w:val="001C294B"/>
    <w:rsid w:val="001C3DA3"/>
    <w:rsid w:val="001E6052"/>
    <w:rsid w:val="001F4873"/>
    <w:rsid w:val="00202D97"/>
    <w:rsid w:val="00214B6E"/>
    <w:rsid w:val="00280C46"/>
    <w:rsid w:val="002870AD"/>
    <w:rsid w:val="002B0B0D"/>
    <w:rsid w:val="002D193D"/>
    <w:rsid w:val="002F1F59"/>
    <w:rsid w:val="002F7259"/>
    <w:rsid w:val="00306D76"/>
    <w:rsid w:val="0031658E"/>
    <w:rsid w:val="003309CF"/>
    <w:rsid w:val="003663CF"/>
    <w:rsid w:val="0038553B"/>
    <w:rsid w:val="00395C36"/>
    <w:rsid w:val="003B0AA8"/>
    <w:rsid w:val="003C04FE"/>
    <w:rsid w:val="003C5179"/>
    <w:rsid w:val="003D4E48"/>
    <w:rsid w:val="003F7D2D"/>
    <w:rsid w:val="004116E6"/>
    <w:rsid w:val="00413068"/>
    <w:rsid w:val="004138BC"/>
    <w:rsid w:val="00433CD7"/>
    <w:rsid w:val="00460E95"/>
    <w:rsid w:val="004872E1"/>
    <w:rsid w:val="004961B5"/>
    <w:rsid w:val="004A1D16"/>
    <w:rsid w:val="004B67CE"/>
    <w:rsid w:val="004B7E9E"/>
    <w:rsid w:val="004F41EE"/>
    <w:rsid w:val="00500762"/>
    <w:rsid w:val="005041F6"/>
    <w:rsid w:val="0051032D"/>
    <w:rsid w:val="00527E5F"/>
    <w:rsid w:val="00530F95"/>
    <w:rsid w:val="00537724"/>
    <w:rsid w:val="00545193"/>
    <w:rsid w:val="005516FC"/>
    <w:rsid w:val="00561340"/>
    <w:rsid w:val="00566CD0"/>
    <w:rsid w:val="005859DA"/>
    <w:rsid w:val="005931A3"/>
    <w:rsid w:val="005A6009"/>
    <w:rsid w:val="005C1D86"/>
    <w:rsid w:val="005F321E"/>
    <w:rsid w:val="005F3681"/>
    <w:rsid w:val="005F5963"/>
    <w:rsid w:val="00606495"/>
    <w:rsid w:val="00613403"/>
    <w:rsid w:val="00640FD4"/>
    <w:rsid w:val="00654C69"/>
    <w:rsid w:val="006A3549"/>
    <w:rsid w:val="006B0394"/>
    <w:rsid w:val="006B21AC"/>
    <w:rsid w:val="006C075E"/>
    <w:rsid w:val="006C40C8"/>
    <w:rsid w:val="006E626B"/>
    <w:rsid w:val="006F770E"/>
    <w:rsid w:val="00720416"/>
    <w:rsid w:val="0072673E"/>
    <w:rsid w:val="007610DA"/>
    <w:rsid w:val="00794700"/>
    <w:rsid w:val="007A4BF3"/>
    <w:rsid w:val="007A70A9"/>
    <w:rsid w:val="007B3CEA"/>
    <w:rsid w:val="007B6935"/>
    <w:rsid w:val="007C1A7C"/>
    <w:rsid w:val="007D276F"/>
    <w:rsid w:val="007E0AE4"/>
    <w:rsid w:val="007E328A"/>
    <w:rsid w:val="007E6B98"/>
    <w:rsid w:val="007F0C77"/>
    <w:rsid w:val="00813348"/>
    <w:rsid w:val="008303BB"/>
    <w:rsid w:val="00842B7A"/>
    <w:rsid w:val="008437B0"/>
    <w:rsid w:val="00843AF6"/>
    <w:rsid w:val="00860CEF"/>
    <w:rsid w:val="00865EC2"/>
    <w:rsid w:val="00896588"/>
    <w:rsid w:val="00896D4F"/>
    <w:rsid w:val="008A22A1"/>
    <w:rsid w:val="008C436B"/>
    <w:rsid w:val="008C4CAD"/>
    <w:rsid w:val="008C4EC0"/>
    <w:rsid w:val="008C636E"/>
    <w:rsid w:val="009113CD"/>
    <w:rsid w:val="00913C43"/>
    <w:rsid w:val="0092407F"/>
    <w:rsid w:val="009463C3"/>
    <w:rsid w:val="00971C58"/>
    <w:rsid w:val="00985269"/>
    <w:rsid w:val="00995AF6"/>
    <w:rsid w:val="009A29BB"/>
    <w:rsid w:val="009E5950"/>
    <w:rsid w:val="009E7094"/>
    <w:rsid w:val="009F7D7C"/>
    <w:rsid w:val="00A061A1"/>
    <w:rsid w:val="00A07714"/>
    <w:rsid w:val="00A42806"/>
    <w:rsid w:val="00A46BB1"/>
    <w:rsid w:val="00A60D87"/>
    <w:rsid w:val="00A624AE"/>
    <w:rsid w:val="00A746F2"/>
    <w:rsid w:val="00A8452B"/>
    <w:rsid w:val="00AB3725"/>
    <w:rsid w:val="00AE505A"/>
    <w:rsid w:val="00AF618A"/>
    <w:rsid w:val="00B1051B"/>
    <w:rsid w:val="00B26BD7"/>
    <w:rsid w:val="00B50824"/>
    <w:rsid w:val="00B50A5D"/>
    <w:rsid w:val="00B5240C"/>
    <w:rsid w:val="00B54638"/>
    <w:rsid w:val="00B6597B"/>
    <w:rsid w:val="00B67428"/>
    <w:rsid w:val="00B770BD"/>
    <w:rsid w:val="00B80547"/>
    <w:rsid w:val="00B914D8"/>
    <w:rsid w:val="00B95508"/>
    <w:rsid w:val="00B95AF1"/>
    <w:rsid w:val="00B96950"/>
    <w:rsid w:val="00BA576E"/>
    <w:rsid w:val="00BB287D"/>
    <w:rsid w:val="00BB457C"/>
    <w:rsid w:val="00BC67C9"/>
    <w:rsid w:val="00BF32B5"/>
    <w:rsid w:val="00BF3D44"/>
    <w:rsid w:val="00BF4461"/>
    <w:rsid w:val="00C30CC6"/>
    <w:rsid w:val="00C34174"/>
    <w:rsid w:val="00C5389A"/>
    <w:rsid w:val="00C55ED2"/>
    <w:rsid w:val="00C70476"/>
    <w:rsid w:val="00C942BD"/>
    <w:rsid w:val="00C94766"/>
    <w:rsid w:val="00C951E4"/>
    <w:rsid w:val="00CB67A5"/>
    <w:rsid w:val="00CD7A28"/>
    <w:rsid w:val="00CE5A49"/>
    <w:rsid w:val="00CF765C"/>
    <w:rsid w:val="00D07CD2"/>
    <w:rsid w:val="00D1353F"/>
    <w:rsid w:val="00D14478"/>
    <w:rsid w:val="00D230D4"/>
    <w:rsid w:val="00D30767"/>
    <w:rsid w:val="00D44316"/>
    <w:rsid w:val="00D57BE4"/>
    <w:rsid w:val="00D60AF6"/>
    <w:rsid w:val="00DA49C8"/>
    <w:rsid w:val="00DB586A"/>
    <w:rsid w:val="00DD0A4E"/>
    <w:rsid w:val="00DD4AFC"/>
    <w:rsid w:val="00DD7605"/>
    <w:rsid w:val="00DF0C34"/>
    <w:rsid w:val="00E07226"/>
    <w:rsid w:val="00E46EF3"/>
    <w:rsid w:val="00E77ED2"/>
    <w:rsid w:val="00E90391"/>
    <w:rsid w:val="00E90FEA"/>
    <w:rsid w:val="00E95AEC"/>
    <w:rsid w:val="00EA129B"/>
    <w:rsid w:val="00EA64CA"/>
    <w:rsid w:val="00EB62D5"/>
    <w:rsid w:val="00ED03A9"/>
    <w:rsid w:val="00F3058C"/>
    <w:rsid w:val="00F3320C"/>
    <w:rsid w:val="00F6428A"/>
    <w:rsid w:val="00F77B21"/>
    <w:rsid w:val="00F90C29"/>
    <w:rsid w:val="00F91DC0"/>
    <w:rsid w:val="00F95AF1"/>
    <w:rsid w:val="00FA406B"/>
    <w:rsid w:val="00FB130E"/>
    <w:rsid w:val="00FE3E51"/>
    <w:rsid w:val="00FE3EEF"/>
    <w:rsid w:val="00FF00A2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03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13581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1B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961B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961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961B5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4961B5"/>
    <w:rPr>
      <w:rFonts w:ascii="Times New Roman" w:eastAsia="Times New Roman" w:hAnsi="Times New Roman"/>
      <w:b/>
      <w:sz w:val="26"/>
      <w:szCs w:val="24"/>
    </w:rPr>
  </w:style>
  <w:style w:type="character" w:customStyle="1" w:styleId="Nagwek3Znak">
    <w:name w:val="Nagłówek 3 Znak"/>
    <w:link w:val="Nagwek3"/>
    <w:rsid w:val="004961B5"/>
    <w:rPr>
      <w:rFonts w:ascii="Arial" w:eastAsia="Times New Roman" w:hAnsi="Arial"/>
      <w:sz w:val="24"/>
    </w:rPr>
  </w:style>
  <w:style w:type="character" w:customStyle="1" w:styleId="Nagwek5Znak">
    <w:name w:val="Nagłówek 5 Znak"/>
    <w:link w:val="Nagwek5"/>
    <w:rsid w:val="004961B5"/>
    <w:rPr>
      <w:rFonts w:ascii="Times New Roman" w:eastAsia="Times New Roman" w:hAnsi="Times New Roman"/>
      <w:b/>
      <w:sz w:val="28"/>
      <w:shd w:val="pct12" w:color="auto" w:fill="FFFFFF"/>
    </w:rPr>
  </w:style>
  <w:style w:type="character" w:customStyle="1" w:styleId="Nagwek8Znak">
    <w:name w:val="Nagłówek 8 Znak"/>
    <w:link w:val="Nagwek8"/>
    <w:rsid w:val="004961B5"/>
    <w:rPr>
      <w:rFonts w:ascii="Times New Roman" w:eastAsia="Times New Roman" w:hAnsi="Times New Roman"/>
      <w:i/>
      <w:sz w:val="26"/>
    </w:rPr>
  </w:style>
  <w:style w:type="paragraph" w:styleId="Stopka">
    <w:name w:val="footer"/>
    <w:basedOn w:val="Normalny"/>
    <w:link w:val="StopkaZnak"/>
    <w:uiPriority w:val="99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4961B5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961B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F1F5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0076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9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9DA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052"/>
    <w:pPr>
      <w:spacing w:after="0" w:line="240" w:lineRule="auto"/>
      <w:ind w:left="720" w:hanging="720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052"/>
    <w:rPr>
      <w:rFonts w:ascii="Times New Roman" w:eastAsiaTheme="minorHAnsi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05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AC2D-964E-4656-8A98-658EB411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2022-01-04T10:11:00Z</dcterms:created>
  <dcterms:modified xsi:type="dcterms:W3CDTF">2022-02-02T10:30:00Z</dcterms:modified>
</cp:coreProperties>
</file>